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87" w:rsidRDefault="003A1187"/>
    <w:p w:rsidR="00D21162" w:rsidRDefault="00D21162" w:rsidP="00D21162">
      <w:pPr>
        <w:pStyle w:val="Header"/>
        <w:rPr>
          <w:rFonts w:ascii="Arial" w:hAnsi="Arial" w:cs="Arial"/>
          <w:sz w:val="28"/>
          <w:szCs w:val="28"/>
        </w:rPr>
      </w:pPr>
      <w:r>
        <w:rPr>
          <w:rFonts w:ascii="Arial" w:hAnsi="Arial" w:cs="Arial"/>
          <w:sz w:val="28"/>
          <w:szCs w:val="28"/>
        </w:rPr>
        <w:tab/>
      </w:r>
    </w:p>
    <w:p w:rsidR="00D21162" w:rsidRPr="002D5FF4" w:rsidRDefault="00EB3485" w:rsidP="00D21162">
      <w:pPr>
        <w:pStyle w:val="Header"/>
        <w:jc w:val="center"/>
        <w:rPr>
          <w:rFonts w:ascii="Arial" w:hAnsi="Arial" w:cs="Arial"/>
          <w:b/>
          <w:sz w:val="23"/>
          <w:szCs w:val="23"/>
        </w:rPr>
      </w:pPr>
      <w:r w:rsidRPr="002D5FF4">
        <w:rPr>
          <w:rFonts w:ascii="Arial" w:hAnsi="Arial" w:cs="Arial"/>
          <w:b/>
          <w:sz w:val="23"/>
          <w:szCs w:val="23"/>
        </w:rPr>
        <w:t>Audit Inquiry, Investigation, and Notification Protocol</w:t>
      </w:r>
    </w:p>
    <w:p w:rsidR="008E42CE" w:rsidRPr="002D5FF4" w:rsidRDefault="008E42CE" w:rsidP="00D21162">
      <w:pPr>
        <w:pStyle w:val="Header"/>
        <w:jc w:val="center"/>
        <w:rPr>
          <w:rFonts w:ascii="Arial" w:hAnsi="Arial" w:cs="Arial"/>
          <w:b/>
          <w:sz w:val="23"/>
          <w:szCs w:val="23"/>
        </w:rPr>
      </w:pPr>
    </w:p>
    <w:p w:rsidR="00EB3485" w:rsidRPr="002D5FF4" w:rsidRDefault="008E42CE" w:rsidP="00FC6C7C">
      <w:pPr>
        <w:pStyle w:val="Header"/>
        <w:jc w:val="both"/>
        <w:rPr>
          <w:rFonts w:ascii="Arial" w:hAnsi="Arial" w:cs="Arial"/>
          <w:b/>
          <w:sz w:val="23"/>
          <w:szCs w:val="23"/>
        </w:rPr>
      </w:pPr>
      <w:r w:rsidRPr="002D5FF4">
        <w:rPr>
          <w:rFonts w:ascii="Arial" w:hAnsi="Arial" w:cs="Arial"/>
          <w:b/>
          <w:sz w:val="23"/>
          <w:szCs w:val="23"/>
        </w:rPr>
        <w:t xml:space="preserve">Please read the directive below related to </w:t>
      </w:r>
      <w:r w:rsidR="00EB3485" w:rsidRPr="002D5FF4">
        <w:rPr>
          <w:rFonts w:ascii="Arial" w:hAnsi="Arial" w:cs="Arial"/>
          <w:b/>
          <w:sz w:val="23"/>
          <w:szCs w:val="23"/>
        </w:rPr>
        <w:t xml:space="preserve">Audit Inquiry, Investigation, and Notification </w:t>
      </w:r>
    </w:p>
    <w:p w:rsidR="008E42CE" w:rsidRPr="002D5FF4" w:rsidRDefault="008E42CE" w:rsidP="00D21162">
      <w:pPr>
        <w:pStyle w:val="Header"/>
        <w:jc w:val="center"/>
        <w:rPr>
          <w:rFonts w:ascii="Arial" w:hAnsi="Arial" w:cs="Arial"/>
          <w:b/>
          <w:sz w:val="23"/>
          <w:szCs w:val="23"/>
        </w:rPr>
      </w:pPr>
    </w:p>
    <w:p w:rsidR="00EB3485" w:rsidRPr="002D5FF4" w:rsidRDefault="008E42CE" w:rsidP="006A3413">
      <w:pPr>
        <w:jc w:val="both"/>
        <w:rPr>
          <w:rFonts w:ascii="Arial" w:hAnsi="Arial" w:cs="Arial"/>
          <w:sz w:val="23"/>
          <w:szCs w:val="23"/>
        </w:rPr>
      </w:pPr>
      <w:r w:rsidRPr="002D5FF4">
        <w:rPr>
          <w:rFonts w:ascii="Arial" w:hAnsi="Arial" w:cs="Arial"/>
          <w:sz w:val="23"/>
          <w:szCs w:val="23"/>
        </w:rPr>
        <w:t xml:space="preserve">GOHSEP </w:t>
      </w:r>
      <w:r w:rsidR="00EB3485" w:rsidRPr="002D5FF4">
        <w:rPr>
          <w:rFonts w:ascii="Arial" w:hAnsi="Arial" w:cs="Arial"/>
          <w:sz w:val="23"/>
          <w:szCs w:val="23"/>
        </w:rPr>
        <w:t xml:space="preserve">fully supports the Governor’s initiative for complete transparency and accountability for all federal disaster funds.  In order to ensure </w:t>
      </w:r>
      <w:r w:rsidR="00FC6C7C" w:rsidRPr="002D5FF4">
        <w:rPr>
          <w:rFonts w:ascii="Arial" w:hAnsi="Arial" w:cs="Arial"/>
          <w:sz w:val="23"/>
          <w:szCs w:val="23"/>
        </w:rPr>
        <w:t>continuity</w:t>
      </w:r>
      <w:r w:rsidR="00EB3485" w:rsidRPr="002D5FF4">
        <w:rPr>
          <w:rFonts w:ascii="Arial" w:hAnsi="Arial" w:cs="Arial"/>
          <w:sz w:val="23"/>
          <w:szCs w:val="23"/>
        </w:rPr>
        <w:t xml:space="preserve"> and completeness of GOHSEP’s response to any audit, inquiry, or investigation, all permanent and temporary GOHSEP employees, as well as contractors and their subcontractors shall adhere to the following protocol:</w:t>
      </w:r>
    </w:p>
    <w:p w:rsidR="00210C1B" w:rsidRDefault="00210C1B" w:rsidP="00210C1B">
      <w:pPr>
        <w:pStyle w:val="Default"/>
        <w:rPr>
          <w:sz w:val="23"/>
          <w:szCs w:val="23"/>
        </w:rPr>
      </w:pPr>
      <w:r>
        <w:rPr>
          <w:sz w:val="23"/>
          <w:szCs w:val="23"/>
        </w:rPr>
        <w:t xml:space="preserve">It shall be the policy of GOHSEP that all announcement letters, whether for inspections, audits, or investigations, be formally addressed and submitted to the Appointing Authority and copied to the Executive Counsel. </w:t>
      </w:r>
    </w:p>
    <w:p w:rsidR="00210C1B" w:rsidRDefault="00210C1B" w:rsidP="00210C1B">
      <w:pPr>
        <w:pStyle w:val="Default"/>
        <w:rPr>
          <w:sz w:val="23"/>
          <w:szCs w:val="23"/>
        </w:rPr>
      </w:pPr>
    </w:p>
    <w:p w:rsidR="00EB3485" w:rsidRPr="002D5FF4" w:rsidRDefault="002D5FF4" w:rsidP="00210C1B">
      <w:pPr>
        <w:jc w:val="both"/>
        <w:rPr>
          <w:rFonts w:ascii="Arial" w:hAnsi="Arial" w:cs="Arial"/>
          <w:sz w:val="23"/>
          <w:szCs w:val="23"/>
        </w:rPr>
      </w:pPr>
      <w:r w:rsidRPr="002D5FF4">
        <w:rPr>
          <w:rFonts w:ascii="Arial" w:hAnsi="Arial" w:cs="Arial"/>
          <w:sz w:val="23"/>
          <w:szCs w:val="23"/>
        </w:rPr>
        <w:t>In the event that the auditing agency addresses or submits an announcement letter to an employee other than the Appointing Authority, or i</w:t>
      </w:r>
      <w:r w:rsidR="00EB3485" w:rsidRPr="002D5FF4">
        <w:rPr>
          <w:rFonts w:ascii="Arial" w:hAnsi="Arial" w:cs="Arial"/>
          <w:sz w:val="23"/>
          <w:szCs w:val="23"/>
        </w:rPr>
        <w:t xml:space="preserve">f you become aware of any type of audit, audit inquiry, formal or informal investigation, </w:t>
      </w:r>
      <w:r w:rsidR="00210C1B">
        <w:rPr>
          <w:rFonts w:ascii="Arial" w:hAnsi="Arial" w:cs="Arial"/>
          <w:sz w:val="23"/>
          <w:szCs w:val="23"/>
        </w:rPr>
        <w:t xml:space="preserve">or </w:t>
      </w:r>
      <w:r w:rsidRPr="002D5FF4">
        <w:rPr>
          <w:rFonts w:ascii="Arial" w:hAnsi="Arial" w:cs="Arial"/>
          <w:sz w:val="23"/>
          <w:szCs w:val="23"/>
        </w:rPr>
        <w:t>an</w:t>
      </w:r>
      <w:r w:rsidR="00EB3485" w:rsidRPr="002D5FF4">
        <w:rPr>
          <w:rFonts w:ascii="Arial" w:hAnsi="Arial" w:cs="Arial"/>
          <w:sz w:val="23"/>
          <w:szCs w:val="23"/>
        </w:rPr>
        <w:t xml:space="preserve"> informal interview by any outside source or agency, immediately take the following course of action:</w:t>
      </w:r>
    </w:p>
    <w:p w:rsidR="002D5FF4" w:rsidRPr="002D5FF4" w:rsidRDefault="005A255D" w:rsidP="002D5FF4">
      <w:pPr>
        <w:pStyle w:val="Default"/>
        <w:numPr>
          <w:ilvl w:val="0"/>
          <w:numId w:val="1"/>
        </w:numPr>
        <w:rPr>
          <w:sz w:val="23"/>
          <w:szCs w:val="23"/>
        </w:rPr>
      </w:pPr>
      <w:r>
        <w:rPr>
          <w:sz w:val="23"/>
          <w:szCs w:val="23"/>
        </w:rPr>
        <w:t>Direct</w:t>
      </w:r>
      <w:r w:rsidR="002D5FF4" w:rsidRPr="002D5FF4">
        <w:rPr>
          <w:sz w:val="23"/>
          <w:szCs w:val="23"/>
        </w:rPr>
        <w:t xml:space="preserve"> the auditing agency to GOHSEP’s policy </w:t>
      </w:r>
      <w:r>
        <w:rPr>
          <w:sz w:val="23"/>
          <w:szCs w:val="23"/>
        </w:rPr>
        <w:t xml:space="preserve">(GEN-0018) </w:t>
      </w:r>
      <w:r w:rsidR="002D5FF4" w:rsidRPr="002D5FF4">
        <w:rPr>
          <w:sz w:val="23"/>
          <w:szCs w:val="23"/>
        </w:rPr>
        <w:t xml:space="preserve">that all announcement letters be addressed and submitted to the Appointing Authority and copied to the Executive Counsel. </w:t>
      </w:r>
    </w:p>
    <w:p w:rsidR="00EB3485" w:rsidRPr="002D5FF4" w:rsidRDefault="00EB3485" w:rsidP="002D5FF4">
      <w:pPr>
        <w:pStyle w:val="ListParagraph"/>
        <w:numPr>
          <w:ilvl w:val="0"/>
          <w:numId w:val="1"/>
        </w:numPr>
        <w:spacing w:before="120" w:after="120"/>
        <w:jc w:val="both"/>
        <w:rPr>
          <w:rFonts w:ascii="Arial" w:hAnsi="Arial" w:cs="Arial"/>
          <w:sz w:val="23"/>
          <w:szCs w:val="23"/>
        </w:rPr>
      </w:pPr>
      <w:r w:rsidRPr="002D5FF4">
        <w:rPr>
          <w:rFonts w:ascii="Arial" w:hAnsi="Arial" w:cs="Arial"/>
          <w:sz w:val="23"/>
          <w:szCs w:val="23"/>
        </w:rPr>
        <w:t xml:space="preserve">Advise the person contacting you that you must refer this to </w:t>
      </w:r>
      <w:r w:rsidR="005A255D">
        <w:rPr>
          <w:rFonts w:ascii="Arial" w:hAnsi="Arial" w:cs="Arial"/>
          <w:sz w:val="23"/>
          <w:szCs w:val="23"/>
        </w:rPr>
        <w:t>the Appointing Authority.</w:t>
      </w:r>
    </w:p>
    <w:p w:rsidR="00EB3485" w:rsidRPr="002D5FF4" w:rsidRDefault="00EB3485" w:rsidP="002D5FF4">
      <w:pPr>
        <w:pStyle w:val="ListParagraph"/>
        <w:numPr>
          <w:ilvl w:val="0"/>
          <w:numId w:val="1"/>
        </w:numPr>
        <w:spacing w:before="120" w:after="120"/>
        <w:jc w:val="both"/>
        <w:rPr>
          <w:rFonts w:ascii="Arial" w:hAnsi="Arial" w:cs="Arial"/>
          <w:sz w:val="23"/>
          <w:szCs w:val="23"/>
        </w:rPr>
      </w:pPr>
      <w:r w:rsidRPr="002D5FF4">
        <w:rPr>
          <w:rFonts w:ascii="Arial" w:hAnsi="Arial" w:cs="Arial"/>
          <w:sz w:val="23"/>
          <w:szCs w:val="23"/>
        </w:rPr>
        <w:t xml:space="preserve">Do </w:t>
      </w:r>
      <w:r w:rsidRPr="002D5FF4">
        <w:rPr>
          <w:rFonts w:ascii="Arial" w:hAnsi="Arial" w:cs="Arial"/>
          <w:b/>
          <w:sz w:val="23"/>
          <w:szCs w:val="23"/>
        </w:rPr>
        <w:t>NOT</w:t>
      </w:r>
      <w:r w:rsidRPr="002D5FF4">
        <w:rPr>
          <w:rFonts w:ascii="Arial" w:hAnsi="Arial" w:cs="Arial"/>
          <w:sz w:val="23"/>
          <w:szCs w:val="23"/>
        </w:rPr>
        <w:t xml:space="preserve"> respond to the individual(s) approaching you in </w:t>
      </w:r>
      <w:r w:rsidRPr="002D5FF4">
        <w:rPr>
          <w:rFonts w:ascii="Arial" w:hAnsi="Arial" w:cs="Arial"/>
          <w:b/>
          <w:sz w:val="23"/>
          <w:szCs w:val="23"/>
        </w:rPr>
        <w:t>ANY</w:t>
      </w:r>
      <w:r w:rsidRPr="002D5FF4">
        <w:rPr>
          <w:rFonts w:ascii="Arial" w:hAnsi="Arial" w:cs="Arial"/>
          <w:sz w:val="23"/>
          <w:szCs w:val="23"/>
        </w:rPr>
        <w:t xml:space="preserve"> way other than </w:t>
      </w:r>
      <w:r w:rsidR="005A255D">
        <w:rPr>
          <w:rFonts w:ascii="Arial" w:hAnsi="Arial" w:cs="Arial"/>
          <w:sz w:val="23"/>
          <w:szCs w:val="23"/>
        </w:rPr>
        <w:t xml:space="preserve">as </w:t>
      </w:r>
      <w:r w:rsidRPr="002D5FF4">
        <w:rPr>
          <w:rFonts w:ascii="Arial" w:hAnsi="Arial" w:cs="Arial"/>
          <w:sz w:val="23"/>
          <w:szCs w:val="23"/>
        </w:rPr>
        <w:t>described in items 1 and 2.</w:t>
      </w:r>
    </w:p>
    <w:p w:rsidR="00DC3AE6" w:rsidRPr="002D5FF4" w:rsidRDefault="00DC3AE6" w:rsidP="002D5FF4">
      <w:pPr>
        <w:pStyle w:val="ListParagraph"/>
        <w:numPr>
          <w:ilvl w:val="0"/>
          <w:numId w:val="1"/>
        </w:numPr>
        <w:spacing w:before="240" w:after="120"/>
        <w:jc w:val="both"/>
        <w:rPr>
          <w:rFonts w:ascii="Arial" w:hAnsi="Arial" w:cs="Arial"/>
          <w:b/>
          <w:sz w:val="23"/>
          <w:szCs w:val="23"/>
        </w:rPr>
      </w:pPr>
      <w:r w:rsidRPr="002D5FF4">
        <w:rPr>
          <w:rFonts w:ascii="Arial" w:hAnsi="Arial" w:cs="Arial"/>
          <w:sz w:val="23"/>
          <w:szCs w:val="23"/>
        </w:rPr>
        <w:t>C</w:t>
      </w:r>
      <w:r w:rsidR="00FC6C7C" w:rsidRPr="002D5FF4">
        <w:rPr>
          <w:rFonts w:ascii="Arial" w:hAnsi="Arial" w:cs="Arial"/>
          <w:sz w:val="23"/>
          <w:szCs w:val="23"/>
        </w:rPr>
        <w:t xml:space="preserve">all the GOHSEP </w:t>
      </w:r>
      <w:r w:rsidRPr="002D5FF4">
        <w:rPr>
          <w:rFonts w:ascii="Arial" w:hAnsi="Arial" w:cs="Arial"/>
          <w:sz w:val="23"/>
          <w:szCs w:val="23"/>
        </w:rPr>
        <w:t>Director or design</w:t>
      </w:r>
      <w:r w:rsidR="00305337" w:rsidRPr="002D5FF4">
        <w:rPr>
          <w:rFonts w:ascii="Arial" w:hAnsi="Arial" w:cs="Arial"/>
          <w:sz w:val="23"/>
          <w:szCs w:val="23"/>
        </w:rPr>
        <w:t>ee</w:t>
      </w:r>
      <w:r w:rsidR="00EB3485" w:rsidRPr="002D5FF4">
        <w:rPr>
          <w:rFonts w:ascii="Arial" w:hAnsi="Arial" w:cs="Arial"/>
          <w:sz w:val="23"/>
          <w:szCs w:val="23"/>
        </w:rPr>
        <w:t xml:space="preserve"> at 225-925-7500.  </w:t>
      </w:r>
    </w:p>
    <w:p w:rsidR="00D21162" w:rsidRPr="002D5FF4" w:rsidRDefault="008E42CE" w:rsidP="00DC3AE6">
      <w:pPr>
        <w:spacing w:before="240" w:after="120"/>
        <w:jc w:val="both"/>
        <w:rPr>
          <w:rFonts w:ascii="Arial" w:hAnsi="Arial" w:cs="Arial"/>
          <w:b/>
          <w:sz w:val="23"/>
          <w:szCs w:val="23"/>
        </w:rPr>
      </w:pPr>
      <w:r w:rsidRPr="002D5FF4">
        <w:rPr>
          <w:rFonts w:ascii="Arial" w:hAnsi="Arial" w:cs="Arial"/>
          <w:b/>
          <w:sz w:val="23"/>
          <w:szCs w:val="23"/>
        </w:rPr>
        <w:t xml:space="preserve">Supervisors must insure that </w:t>
      </w:r>
      <w:r w:rsidR="00FC6C7C" w:rsidRPr="002D5FF4">
        <w:rPr>
          <w:rFonts w:ascii="Arial" w:hAnsi="Arial" w:cs="Arial"/>
          <w:b/>
          <w:sz w:val="23"/>
          <w:szCs w:val="23"/>
        </w:rPr>
        <w:t>all employees are notified and made aware of this policy and its serious nature.  Non-compliance with this policy can lead to formal counseling.</w:t>
      </w:r>
    </w:p>
    <w:p w:rsidR="00FC6C7C" w:rsidRPr="002D5FF4" w:rsidRDefault="00FC6C7C" w:rsidP="000B585A">
      <w:pPr>
        <w:spacing w:before="240"/>
        <w:jc w:val="both"/>
        <w:rPr>
          <w:rFonts w:ascii="Arial" w:hAnsi="Arial" w:cs="Arial"/>
          <w:b/>
          <w:sz w:val="23"/>
          <w:szCs w:val="23"/>
        </w:rPr>
      </w:pPr>
      <w:r w:rsidRPr="002D5FF4">
        <w:rPr>
          <w:rFonts w:ascii="Arial" w:hAnsi="Arial" w:cs="Arial"/>
          <w:b/>
          <w:sz w:val="23"/>
          <w:szCs w:val="23"/>
        </w:rPr>
        <w:t>I have read the policy above and agree to comply accordingly.</w:t>
      </w:r>
    </w:p>
    <w:tbl>
      <w:tblPr>
        <w:tblStyle w:val="TableGrid"/>
        <w:tblW w:w="0" w:type="auto"/>
        <w:tblLook w:val="04A0" w:firstRow="1" w:lastRow="0" w:firstColumn="1" w:lastColumn="0" w:noHBand="0" w:noVBand="1"/>
      </w:tblPr>
      <w:tblGrid>
        <w:gridCol w:w="3790"/>
        <w:gridCol w:w="881"/>
        <w:gridCol w:w="3336"/>
        <w:gridCol w:w="1343"/>
      </w:tblGrid>
      <w:tr w:rsidR="00FC6C7C" w:rsidTr="00DC3AE6">
        <w:tc>
          <w:tcPr>
            <w:tcW w:w="3888" w:type="dxa"/>
          </w:tcPr>
          <w:p w:rsidR="00FC6C7C" w:rsidRDefault="00FC6C7C" w:rsidP="00FC6C7C">
            <w:pPr>
              <w:rPr>
                <w:rFonts w:ascii="Arial" w:hAnsi="Arial" w:cs="Arial"/>
                <w:b/>
                <w:sz w:val="16"/>
                <w:szCs w:val="16"/>
              </w:rPr>
            </w:pPr>
            <w:r w:rsidRPr="00FC6C7C">
              <w:rPr>
                <w:rFonts w:ascii="Arial" w:hAnsi="Arial" w:cs="Arial"/>
                <w:b/>
                <w:sz w:val="16"/>
                <w:szCs w:val="16"/>
              </w:rPr>
              <w:t>Print First &amp; Last Name</w:t>
            </w:r>
          </w:p>
          <w:p w:rsidR="00FC6C7C" w:rsidRDefault="00FC6C7C" w:rsidP="00FC6C7C">
            <w:pPr>
              <w:rPr>
                <w:rFonts w:ascii="Arial" w:hAnsi="Arial" w:cs="Arial"/>
                <w:b/>
                <w:sz w:val="16"/>
                <w:szCs w:val="16"/>
              </w:rPr>
            </w:pPr>
          </w:p>
          <w:p w:rsidR="00FC6C7C" w:rsidRDefault="00FC6C7C" w:rsidP="00FC6C7C">
            <w:pPr>
              <w:rPr>
                <w:rFonts w:ascii="Arial" w:hAnsi="Arial" w:cs="Arial"/>
                <w:b/>
                <w:sz w:val="16"/>
                <w:szCs w:val="16"/>
              </w:rPr>
            </w:pPr>
          </w:p>
          <w:p w:rsidR="00FC6C7C" w:rsidRPr="00FC6C7C" w:rsidRDefault="00FC6C7C" w:rsidP="00FC6C7C">
            <w:pPr>
              <w:rPr>
                <w:rFonts w:ascii="Arial" w:hAnsi="Arial" w:cs="Arial"/>
                <w:b/>
                <w:sz w:val="16"/>
                <w:szCs w:val="16"/>
              </w:rPr>
            </w:pPr>
          </w:p>
        </w:tc>
        <w:tc>
          <w:tcPr>
            <w:tcW w:w="4320" w:type="dxa"/>
            <w:gridSpan w:val="2"/>
          </w:tcPr>
          <w:p w:rsidR="00FC6C7C" w:rsidRPr="00FC6C7C" w:rsidRDefault="00FC6C7C" w:rsidP="00FC6C7C">
            <w:pPr>
              <w:rPr>
                <w:rFonts w:ascii="Arial" w:hAnsi="Arial" w:cs="Arial"/>
                <w:b/>
                <w:sz w:val="16"/>
                <w:szCs w:val="16"/>
              </w:rPr>
            </w:pPr>
            <w:r w:rsidRPr="00FC6C7C">
              <w:rPr>
                <w:rFonts w:ascii="Arial" w:hAnsi="Arial" w:cs="Arial"/>
                <w:b/>
                <w:sz w:val="16"/>
                <w:szCs w:val="16"/>
              </w:rPr>
              <w:t>Signature</w:t>
            </w:r>
          </w:p>
        </w:tc>
        <w:tc>
          <w:tcPr>
            <w:tcW w:w="1368" w:type="dxa"/>
          </w:tcPr>
          <w:p w:rsidR="00FC6C7C" w:rsidRPr="00FC6C7C" w:rsidRDefault="00FC6C7C" w:rsidP="00FC6C7C">
            <w:pPr>
              <w:rPr>
                <w:rFonts w:ascii="Arial" w:hAnsi="Arial" w:cs="Arial"/>
                <w:b/>
                <w:sz w:val="16"/>
                <w:szCs w:val="16"/>
              </w:rPr>
            </w:pPr>
            <w:r w:rsidRPr="00FC6C7C">
              <w:rPr>
                <w:rFonts w:ascii="Arial" w:hAnsi="Arial" w:cs="Arial"/>
                <w:b/>
                <w:sz w:val="16"/>
                <w:szCs w:val="16"/>
              </w:rPr>
              <w:t>Date</w:t>
            </w:r>
          </w:p>
        </w:tc>
      </w:tr>
      <w:tr w:rsidR="00FC6C7C" w:rsidTr="002D5FF4">
        <w:tc>
          <w:tcPr>
            <w:tcW w:w="4788" w:type="dxa"/>
            <w:gridSpan w:val="2"/>
          </w:tcPr>
          <w:p w:rsidR="00FC6C7C" w:rsidRDefault="00FC6C7C" w:rsidP="00FC6C7C">
            <w:pPr>
              <w:rPr>
                <w:rFonts w:ascii="Arial" w:hAnsi="Arial" w:cs="Arial"/>
                <w:b/>
                <w:sz w:val="16"/>
                <w:szCs w:val="16"/>
              </w:rPr>
            </w:pPr>
            <w:r w:rsidRPr="00FC6C7C">
              <w:rPr>
                <w:rFonts w:ascii="Arial" w:hAnsi="Arial" w:cs="Arial"/>
                <w:b/>
                <w:sz w:val="16"/>
                <w:szCs w:val="16"/>
              </w:rPr>
              <w:t>Section</w:t>
            </w:r>
          </w:p>
          <w:p w:rsidR="00FC6C7C" w:rsidRDefault="00FC6C7C" w:rsidP="00FC6C7C">
            <w:pPr>
              <w:rPr>
                <w:rFonts w:ascii="Arial" w:hAnsi="Arial" w:cs="Arial"/>
                <w:b/>
                <w:sz w:val="16"/>
                <w:szCs w:val="16"/>
              </w:rPr>
            </w:pPr>
          </w:p>
          <w:p w:rsidR="00FC6C7C" w:rsidRDefault="00FC6C7C" w:rsidP="00FC6C7C">
            <w:pPr>
              <w:rPr>
                <w:rFonts w:ascii="Arial" w:hAnsi="Arial" w:cs="Arial"/>
                <w:b/>
                <w:sz w:val="16"/>
                <w:szCs w:val="16"/>
              </w:rPr>
            </w:pPr>
          </w:p>
          <w:p w:rsidR="00FC6C7C" w:rsidRPr="00FC6C7C" w:rsidRDefault="00FC6C7C" w:rsidP="00FC6C7C">
            <w:pPr>
              <w:rPr>
                <w:rFonts w:ascii="Arial" w:hAnsi="Arial" w:cs="Arial"/>
                <w:b/>
                <w:sz w:val="16"/>
                <w:szCs w:val="16"/>
              </w:rPr>
            </w:pPr>
          </w:p>
        </w:tc>
        <w:tc>
          <w:tcPr>
            <w:tcW w:w="4788" w:type="dxa"/>
            <w:gridSpan w:val="2"/>
          </w:tcPr>
          <w:p w:rsidR="00FC6C7C" w:rsidRPr="00FC6C7C" w:rsidRDefault="00FC6C7C" w:rsidP="00FC6C7C">
            <w:pPr>
              <w:jc w:val="both"/>
              <w:rPr>
                <w:rFonts w:ascii="Arial" w:hAnsi="Arial" w:cs="Arial"/>
                <w:b/>
                <w:sz w:val="16"/>
                <w:szCs w:val="16"/>
              </w:rPr>
            </w:pPr>
            <w:r w:rsidRPr="00FC6C7C">
              <w:rPr>
                <w:rFonts w:ascii="Arial" w:hAnsi="Arial" w:cs="Arial"/>
                <w:b/>
                <w:sz w:val="16"/>
                <w:szCs w:val="16"/>
              </w:rPr>
              <w:t>Position Title</w:t>
            </w:r>
          </w:p>
        </w:tc>
      </w:tr>
    </w:tbl>
    <w:p w:rsidR="00FC6C7C" w:rsidRPr="00FC6C7C" w:rsidRDefault="00FC6C7C" w:rsidP="00FC6C7C">
      <w:pPr>
        <w:spacing w:before="240"/>
        <w:jc w:val="both"/>
        <w:rPr>
          <w:rFonts w:ascii="Arial" w:hAnsi="Arial" w:cs="Arial"/>
          <w:b/>
          <w:sz w:val="24"/>
          <w:szCs w:val="24"/>
        </w:rPr>
      </w:pPr>
    </w:p>
    <w:sectPr w:rsidR="00FC6C7C" w:rsidRPr="00FC6C7C" w:rsidSect="00FC6C7C">
      <w:headerReference w:type="default" r:id="rId10"/>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399" w:rsidRDefault="005A4399" w:rsidP="00D21162">
      <w:pPr>
        <w:spacing w:after="0" w:line="240" w:lineRule="auto"/>
      </w:pPr>
      <w:r>
        <w:separator/>
      </w:r>
    </w:p>
  </w:endnote>
  <w:endnote w:type="continuationSeparator" w:id="0">
    <w:p w:rsidR="005A4399" w:rsidRDefault="005A4399" w:rsidP="00D2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399" w:rsidRDefault="005A4399" w:rsidP="00D21162">
      <w:pPr>
        <w:spacing w:after="0" w:line="240" w:lineRule="auto"/>
      </w:pPr>
      <w:r>
        <w:separator/>
      </w:r>
    </w:p>
  </w:footnote>
  <w:footnote w:type="continuationSeparator" w:id="0">
    <w:p w:rsidR="005A4399" w:rsidRDefault="005A4399" w:rsidP="00D21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5D" w:rsidRDefault="005A255D" w:rsidP="00D21162">
    <w:pPr>
      <w:pStyle w:val="Header"/>
      <w:jc w:val="center"/>
      <w:rPr>
        <w:rFonts w:ascii="Arial" w:hAnsi="Arial" w:cs="Arial"/>
        <w:b/>
        <w:sz w:val="28"/>
        <w:szCs w:val="28"/>
      </w:rPr>
    </w:pPr>
    <w:r w:rsidRPr="00D21162">
      <w:rPr>
        <w:b/>
        <w:noProof/>
      </w:rPr>
      <w:drawing>
        <wp:anchor distT="0" distB="0" distL="114300" distR="114300" simplePos="0" relativeHeight="251658240" behindDoc="1" locked="0" layoutInCell="1" allowOverlap="1" wp14:anchorId="0F10FD90" wp14:editId="19DC3117">
          <wp:simplePos x="0" y="0"/>
          <wp:positionH relativeFrom="column">
            <wp:posOffset>-114300</wp:posOffset>
          </wp:positionH>
          <wp:positionV relativeFrom="paragraph">
            <wp:posOffset>76200</wp:posOffset>
          </wp:positionV>
          <wp:extent cx="1097280" cy="1097280"/>
          <wp:effectExtent l="0" t="0" r="7620" b="7620"/>
          <wp:wrapThrough wrapText="bothSides">
            <wp:wrapPolygon edited="0">
              <wp:start x="0" y="0"/>
              <wp:lineTo x="0" y="21375"/>
              <wp:lineTo x="21375" y="21375"/>
              <wp:lineTo x="21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HSEP Logo - Good.png"/>
                  <pic:cNvPicPr/>
                </pic:nvPicPr>
                <pic:blipFill>
                  <a:blip r:embed="rId1">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p>
  <w:p w:rsidR="005A255D" w:rsidRPr="00D21162" w:rsidRDefault="005A255D" w:rsidP="00D21162">
    <w:pPr>
      <w:pStyle w:val="Header"/>
      <w:jc w:val="center"/>
      <w:rPr>
        <w:rFonts w:ascii="Arial" w:hAnsi="Arial" w:cs="Arial"/>
        <w:b/>
        <w:sz w:val="28"/>
        <w:szCs w:val="28"/>
      </w:rPr>
    </w:pPr>
    <w:r w:rsidRPr="00D21162">
      <w:rPr>
        <w:rFonts w:ascii="Arial" w:hAnsi="Arial" w:cs="Arial"/>
        <w:b/>
        <w:sz w:val="28"/>
        <w:szCs w:val="28"/>
      </w:rPr>
      <w:t>Governor’s Office of Homeland Security</w:t>
    </w:r>
  </w:p>
  <w:p w:rsidR="005A255D" w:rsidRPr="00D21162" w:rsidRDefault="005A255D" w:rsidP="00D21162">
    <w:pPr>
      <w:pStyle w:val="Header"/>
      <w:jc w:val="center"/>
      <w:rPr>
        <w:rFonts w:ascii="Arial" w:hAnsi="Arial" w:cs="Arial"/>
        <w:b/>
        <w:sz w:val="28"/>
        <w:szCs w:val="28"/>
      </w:rPr>
    </w:pPr>
    <w:r>
      <w:rPr>
        <w:rFonts w:ascii="Arial" w:hAnsi="Arial" w:cs="Arial"/>
        <w:b/>
        <w:sz w:val="28"/>
        <w:szCs w:val="28"/>
      </w:rPr>
      <w:t>a</w:t>
    </w:r>
    <w:r w:rsidRPr="00D21162">
      <w:rPr>
        <w:rFonts w:ascii="Arial" w:hAnsi="Arial" w:cs="Arial"/>
        <w:b/>
        <w:sz w:val="28"/>
        <w:szCs w:val="28"/>
      </w:rPr>
      <w:t>nd</w:t>
    </w:r>
  </w:p>
  <w:p w:rsidR="005A255D" w:rsidRPr="00D21162" w:rsidRDefault="005A255D" w:rsidP="00D21162">
    <w:pPr>
      <w:pStyle w:val="Header"/>
      <w:jc w:val="center"/>
      <w:rPr>
        <w:rFonts w:ascii="Arial" w:hAnsi="Arial" w:cs="Arial"/>
        <w:b/>
        <w:sz w:val="28"/>
        <w:szCs w:val="28"/>
      </w:rPr>
    </w:pPr>
    <w:r w:rsidRPr="00D21162">
      <w:rPr>
        <w:rFonts w:ascii="Arial" w:hAnsi="Arial" w:cs="Arial"/>
        <w:b/>
        <w:sz w:val="28"/>
        <w:szCs w:val="28"/>
      </w:rPr>
      <w:t>Emergency Preparedness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35C5B"/>
    <w:multiLevelType w:val="hybridMultilevel"/>
    <w:tmpl w:val="1B666D2A"/>
    <w:lvl w:ilvl="0" w:tplc="5022B2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62"/>
    <w:rsid w:val="000038F1"/>
    <w:rsid w:val="000B585A"/>
    <w:rsid w:val="00210C1B"/>
    <w:rsid w:val="00214B35"/>
    <w:rsid w:val="002D5FF4"/>
    <w:rsid w:val="00305337"/>
    <w:rsid w:val="00325D39"/>
    <w:rsid w:val="003A1187"/>
    <w:rsid w:val="004B695D"/>
    <w:rsid w:val="005A255D"/>
    <w:rsid w:val="005A4399"/>
    <w:rsid w:val="006A3413"/>
    <w:rsid w:val="00813E9C"/>
    <w:rsid w:val="008E42CE"/>
    <w:rsid w:val="00991153"/>
    <w:rsid w:val="00A10B54"/>
    <w:rsid w:val="00B121A5"/>
    <w:rsid w:val="00BB4DB9"/>
    <w:rsid w:val="00CB4138"/>
    <w:rsid w:val="00CF1E1C"/>
    <w:rsid w:val="00D21162"/>
    <w:rsid w:val="00DC3AE6"/>
    <w:rsid w:val="00E7629D"/>
    <w:rsid w:val="00EB3485"/>
    <w:rsid w:val="00FC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0513F6-A6C6-418B-84F7-9D6D78B5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162"/>
  </w:style>
  <w:style w:type="paragraph" w:styleId="Footer">
    <w:name w:val="footer"/>
    <w:basedOn w:val="Normal"/>
    <w:link w:val="FooterChar"/>
    <w:uiPriority w:val="99"/>
    <w:unhideWhenUsed/>
    <w:rsid w:val="00D21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162"/>
  </w:style>
  <w:style w:type="paragraph" w:styleId="BalloonText">
    <w:name w:val="Balloon Text"/>
    <w:basedOn w:val="Normal"/>
    <w:link w:val="BalloonTextChar"/>
    <w:uiPriority w:val="99"/>
    <w:semiHidden/>
    <w:unhideWhenUsed/>
    <w:rsid w:val="00D2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62"/>
    <w:rPr>
      <w:rFonts w:ascii="Tahoma" w:hAnsi="Tahoma" w:cs="Tahoma"/>
      <w:sz w:val="16"/>
      <w:szCs w:val="16"/>
    </w:rPr>
  </w:style>
  <w:style w:type="character" w:styleId="Hyperlink">
    <w:name w:val="Hyperlink"/>
    <w:basedOn w:val="DefaultParagraphFont"/>
    <w:uiPriority w:val="99"/>
    <w:unhideWhenUsed/>
    <w:rsid w:val="00325D39"/>
    <w:rPr>
      <w:color w:val="0000FF" w:themeColor="hyperlink"/>
      <w:u w:val="single"/>
    </w:rPr>
  </w:style>
  <w:style w:type="paragraph" w:styleId="ListParagraph">
    <w:name w:val="List Paragraph"/>
    <w:basedOn w:val="Normal"/>
    <w:uiPriority w:val="34"/>
    <w:qFormat/>
    <w:rsid w:val="008E42CE"/>
    <w:pPr>
      <w:ind w:left="720"/>
      <w:contextualSpacing/>
    </w:pPr>
  </w:style>
  <w:style w:type="table" w:styleId="TableGrid">
    <w:name w:val="Table Grid"/>
    <w:basedOn w:val="TableNormal"/>
    <w:uiPriority w:val="59"/>
    <w:rsid w:val="00FC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5F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54850FD101041A1D9CA73DDB283E2" ma:contentTypeVersion="0" ma:contentTypeDescription="Create a new document." ma:contentTypeScope="" ma:versionID="3b0c0b5f7568fa93d3fd3d69d4ee02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758C9-B08F-425E-9A36-B0A2DD1ED9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22A83A-0F9B-4569-B928-5100EAC2D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8971EB-A80D-4F99-B9BC-18488E136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McNamee, LaVerna</dc:creator>
  <cp:lastModifiedBy>James, Beverly</cp:lastModifiedBy>
  <cp:revision>5</cp:revision>
  <cp:lastPrinted>2014-05-21T15:23:00Z</cp:lastPrinted>
  <dcterms:created xsi:type="dcterms:W3CDTF">2017-04-04T20:02:00Z</dcterms:created>
  <dcterms:modified xsi:type="dcterms:W3CDTF">2017-04-04T20:09:00Z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0x01010099454850FD101041A1D9CA73DDB283E2</vt:lpwstr>
  </property>
</Properties>
</file>