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E737E" w14:textId="77777777" w:rsidR="00A90A8B" w:rsidRDefault="00C34A8C">
      <w:pPr>
        <w:pStyle w:val="BodyText"/>
        <w:ind w:left="4649"/>
        <w:rPr>
          <w:rFonts w:ascii="Times New Roman"/>
          <w:sz w:val="20"/>
        </w:rPr>
      </w:pPr>
      <w:r>
        <w:rPr>
          <w:rFonts w:ascii="Times New Roman"/>
          <w:noProof/>
          <w:sz w:val="20"/>
        </w:rPr>
        <w:drawing>
          <wp:inline distT="0" distB="0" distL="0" distR="0" wp14:anchorId="2F0F7159" wp14:editId="7E7C3407">
            <wp:extent cx="664391" cy="690372"/>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664391" cy="690372"/>
                    </a:xfrm>
                    <a:prstGeom prst="rect">
                      <a:avLst/>
                    </a:prstGeom>
                  </pic:spPr>
                </pic:pic>
              </a:graphicData>
            </a:graphic>
          </wp:inline>
        </w:drawing>
      </w:r>
    </w:p>
    <w:p w14:paraId="0AD17308" w14:textId="77777777" w:rsidR="00A90A8B" w:rsidRDefault="00A90A8B">
      <w:pPr>
        <w:rPr>
          <w:rFonts w:ascii="Times New Roman"/>
          <w:sz w:val="20"/>
        </w:rPr>
        <w:sectPr w:rsidR="00A90A8B">
          <w:footerReference w:type="default" r:id="rId9"/>
          <w:type w:val="continuous"/>
          <w:pgSz w:w="12240" w:h="15840"/>
          <w:pgMar w:top="360" w:right="880" w:bottom="280" w:left="1040" w:header="720" w:footer="720" w:gutter="0"/>
          <w:cols w:space="720"/>
        </w:sectPr>
      </w:pPr>
    </w:p>
    <w:p w14:paraId="2036AD9C" w14:textId="77777777" w:rsidR="00A90A8B" w:rsidRDefault="00A90A8B">
      <w:pPr>
        <w:pStyle w:val="BodyText"/>
        <w:spacing w:before="1"/>
        <w:rPr>
          <w:rFonts w:ascii="Times New Roman"/>
          <w:sz w:val="14"/>
        </w:rPr>
      </w:pPr>
    </w:p>
    <w:p w14:paraId="6CAEF9E2" w14:textId="77777777" w:rsidR="00A90A8B" w:rsidRDefault="00C34A8C">
      <w:pPr>
        <w:spacing w:line="180" w:lineRule="exact"/>
        <w:ind w:left="118"/>
        <w:rPr>
          <w:b/>
          <w:sz w:val="16"/>
        </w:rPr>
      </w:pPr>
      <w:bookmarkStart w:id="0" w:name="004_Talkgroup_Management_Policy_2015-07-"/>
      <w:bookmarkEnd w:id="0"/>
      <w:r>
        <w:rPr>
          <w:b/>
          <w:color w:val="003366"/>
          <w:sz w:val="16"/>
        </w:rPr>
        <w:t>JEFF LANDRY</w:t>
      </w:r>
    </w:p>
    <w:p w14:paraId="0FB5467F" w14:textId="77777777" w:rsidR="00A90A8B" w:rsidRDefault="00C34A8C">
      <w:pPr>
        <w:spacing w:line="186" w:lineRule="exact"/>
        <w:ind w:left="198"/>
        <w:rPr>
          <w:sz w:val="16"/>
        </w:rPr>
      </w:pPr>
      <w:r>
        <w:rPr>
          <w:color w:val="003366"/>
          <w:sz w:val="16"/>
        </w:rPr>
        <w:t>GOVERNOR</w:t>
      </w:r>
    </w:p>
    <w:p w14:paraId="385E1F20" w14:textId="77777777" w:rsidR="00A90A8B" w:rsidRDefault="00C34A8C">
      <w:pPr>
        <w:spacing w:before="3"/>
        <w:ind w:left="71" w:right="22"/>
        <w:jc w:val="center"/>
        <w:rPr>
          <w:rFonts w:ascii="Old English Text MT"/>
          <w:b/>
          <w:sz w:val="40"/>
        </w:rPr>
      </w:pPr>
      <w:r>
        <w:br w:type="column"/>
      </w:r>
      <w:r>
        <w:rPr>
          <w:rFonts w:ascii="Old English Text MT"/>
          <w:b/>
          <w:color w:val="003366"/>
          <w:spacing w:val="23"/>
          <w:sz w:val="40"/>
        </w:rPr>
        <w:t xml:space="preserve">State </w:t>
      </w:r>
      <w:r>
        <w:rPr>
          <w:rFonts w:ascii="Old English Text MT"/>
          <w:b/>
          <w:color w:val="003366"/>
          <w:spacing w:val="15"/>
          <w:sz w:val="40"/>
        </w:rPr>
        <w:t>of</w:t>
      </w:r>
      <w:r>
        <w:rPr>
          <w:rFonts w:ascii="Old English Text MT"/>
          <w:b/>
          <w:color w:val="003366"/>
          <w:spacing w:val="94"/>
          <w:sz w:val="40"/>
        </w:rPr>
        <w:t xml:space="preserve"> </w:t>
      </w:r>
      <w:r>
        <w:rPr>
          <w:rFonts w:ascii="Old English Text MT"/>
          <w:b/>
          <w:color w:val="003366"/>
          <w:spacing w:val="26"/>
          <w:sz w:val="40"/>
        </w:rPr>
        <w:t>Louisiana</w:t>
      </w:r>
    </w:p>
    <w:p w14:paraId="0DDCCFD1" w14:textId="77777777" w:rsidR="00A90A8B" w:rsidRDefault="00C34A8C">
      <w:pPr>
        <w:spacing w:line="347" w:lineRule="exact"/>
        <w:ind w:left="100" w:right="22"/>
        <w:jc w:val="center"/>
        <w:rPr>
          <w:sz w:val="28"/>
        </w:rPr>
      </w:pPr>
      <w:r>
        <w:rPr>
          <w:color w:val="003366"/>
          <w:sz w:val="28"/>
        </w:rPr>
        <w:t>Statewide Interoperability Executive Committee</w:t>
      </w:r>
    </w:p>
    <w:p w14:paraId="7B4F51E8" w14:textId="760FFECE" w:rsidR="00EE1A2A" w:rsidRPr="00EE1A2A" w:rsidRDefault="00EE1A2A" w:rsidP="00EE1A2A">
      <w:pPr>
        <w:spacing w:line="195" w:lineRule="exact"/>
        <w:ind w:left="1440" w:right="20"/>
        <w:rPr>
          <w:sz w:val="16"/>
          <w:szCs w:val="16"/>
        </w:rPr>
      </w:pPr>
      <w:hyperlink r:id="rId10" w:history="1">
        <w:r w:rsidRPr="00EE1A2A">
          <w:rPr>
            <w:rStyle w:val="Hyperlink"/>
            <w:sz w:val="16"/>
            <w:szCs w:val="16"/>
          </w:rPr>
          <w:t>https://gohsep.la.gov/about/unified-command-group/interoperability-subcommittee/</w:t>
        </w:r>
      </w:hyperlink>
    </w:p>
    <w:p w14:paraId="6B1D3973" w14:textId="5776004D" w:rsidR="00A90A8B" w:rsidRDefault="00A90A8B">
      <w:pPr>
        <w:spacing w:line="195" w:lineRule="exact"/>
        <w:ind w:left="100" w:right="20"/>
        <w:jc w:val="center"/>
        <w:rPr>
          <w:rFonts w:ascii="Calibri"/>
          <w:sz w:val="16"/>
        </w:rPr>
      </w:pPr>
    </w:p>
    <w:p w14:paraId="5B31D747" w14:textId="77777777" w:rsidR="008927BB" w:rsidRDefault="008927BB">
      <w:pPr>
        <w:pStyle w:val="BodyText"/>
        <w:spacing w:before="8"/>
      </w:pPr>
    </w:p>
    <w:p w14:paraId="221CAB37" w14:textId="77777777" w:rsidR="008927BB" w:rsidRDefault="008927BB">
      <w:pPr>
        <w:pStyle w:val="BodyText"/>
        <w:spacing w:before="8"/>
      </w:pPr>
    </w:p>
    <w:p w14:paraId="40E13073" w14:textId="77777777" w:rsidR="00A90A8B" w:rsidRDefault="00C34A8C">
      <w:pPr>
        <w:pStyle w:val="BodyText"/>
        <w:spacing w:before="8"/>
        <w:rPr>
          <w:rFonts w:ascii="Calibri"/>
          <w:sz w:val="18"/>
        </w:rPr>
      </w:pPr>
      <w:r>
        <w:br w:type="column"/>
      </w:r>
    </w:p>
    <w:p w14:paraId="1A0C92F5" w14:textId="3870B900" w:rsidR="00A90A8B" w:rsidRDefault="00EE1A2A">
      <w:pPr>
        <w:ind w:left="85" w:right="82"/>
        <w:jc w:val="center"/>
        <w:rPr>
          <w:b/>
          <w:sz w:val="16"/>
        </w:rPr>
      </w:pPr>
      <w:r>
        <w:rPr>
          <w:b/>
          <w:sz w:val="16"/>
        </w:rPr>
        <w:t>MARK WARD</w:t>
      </w:r>
    </w:p>
    <w:p w14:paraId="6F6E790C" w14:textId="77777777" w:rsidR="00A90A8B" w:rsidRDefault="00C34A8C">
      <w:pPr>
        <w:spacing w:before="7"/>
        <w:ind w:left="47" w:right="82"/>
        <w:jc w:val="center"/>
        <w:rPr>
          <w:sz w:val="16"/>
        </w:rPr>
      </w:pPr>
      <w:r>
        <w:rPr>
          <w:color w:val="003366"/>
          <w:sz w:val="16"/>
        </w:rPr>
        <w:t>CHAIRMAN</w:t>
      </w:r>
    </w:p>
    <w:p w14:paraId="7C26BC77" w14:textId="77777777" w:rsidR="00A90A8B" w:rsidRDefault="00A90A8B" w:rsidP="001C2EF9">
      <w:pPr>
        <w:rPr>
          <w:sz w:val="16"/>
        </w:rPr>
        <w:sectPr w:rsidR="00A90A8B">
          <w:type w:val="continuous"/>
          <w:pgSz w:w="12240" w:h="15840"/>
          <w:pgMar w:top="360" w:right="880" w:bottom="280" w:left="1040" w:header="720" w:footer="720" w:gutter="0"/>
          <w:cols w:num="3" w:space="720" w:equalWidth="0">
            <w:col w:w="1262" w:space="768"/>
            <w:col w:w="6128" w:space="652"/>
            <w:col w:w="1510"/>
          </w:cols>
        </w:sectPr>
      </w:pPr>
    </w:p>
    <w:p w14:paraId="75190BDA" w14:textId="29E4913D" w:rsidR="00A90A8B" w:rsidRDefault="008927BB" w:rsidP="00E90B0D">
      <w:pPr>
        <w:pStyle w:val="Heading1"/>
        <w:spacing w:before="1"/>
        <w:ind w:left="0" w:right="2187" w:firstLine="0"/>
      </w:pPr>
      <w:r>
        <w:t xml:space="preserve">POLICY NAME: </w:t>
      </w:r>
      <w:r w:rsidR="00E2370F">
        <w:t xml:space="preserve">BI-DIRECTIONAL AMPLIFIERS (BDA) AND    </w:t>
      </w:r>
      <w:r w:rsidR="00E90B0D">
        <w:t xml:space="preserve">    </w:t>
      </w:r>
      <w:r w:rsidR="00E2370F">
        <w:t>DISTRIBUTIVE ANTENNA SYSTEMS (DAS)</w:t>
      </w:r>
      <w:r w:rsidR="001D4AFD">
        <w:t xml:space="preserve"> POLICY</w:t>
      </w:r>
    </w:p>
    <w:p w14:paraId="5CE89651" w14:textId="77777777" w:rsidR="008927BB" w:rsidRDefault="008927BB" w:rsidP="008927BB">
      <w:pPr>
        <w:pStyle w:val="Heading1"/>
        <w:spacing w:before="1"/>
        <w:ind w:left="0" w:right="2187" w:firstLine="0"/>
      </w:pPr>
    </w:p>
    <w:p w14:paraId="61DB7F76" w14:textId="152704CF" w:rsidR="008927BB" w:rsidRDefault="001D4AFD" w:rsidP="008927BB">
      <w:pPr>
        <w:pStyle w:val="Heading1"/>
        <w:spacing w:before="1"/>
        <w:ind w:left="0" w:right="2187" w:firstLine="0"/>
      </w:pPr>
      <w:r>
        <w:t>POLICY NUMBER 0</w:t>
      </w:r>
      <w:r w:rsidR="00E2370F">
        <w:t>1</w:t>
      </w:r>
      <w:r w:rsidR="0017472B">
        <w:t>2</w:t>
      </w:r>
    </w:p>
    <w:p w14:paraId="3CB5AA22" w14:textId="77777777" w:rsidR="008927BB" w:rsidRDefault="008927BB" w:rsidP="008927BB">
      <w:pPr>
        <w:pStyle w:val="Heading1"/>
        <w:spacing w:before="1"/>
        <w:ind w:left="0" w:right="2187" w:firstLine="0"/>
      </w:pPr>
    </w:p>
    <w:p w14:paraId="204CB325" w14:textId="186419B3" w:rsidR="008927BB" w:rsidRDefault="008927BB" w:rsidP="008927BB">
      <w:pPr>
        <w:pStyle w:val="Heading1"/>
        <w:spacing w:before="1"/>
        <w:ind w:left="0" w:right="2187" w:firstLine="0"/>
      </w:pPr>
      <w:r>
        <w:t xml:space="preserve">EFFECTIVE DATE: </w:t>
      </w:r>
      <w:r w:rsidR="001D4AFD">
        <w:t>J</w:t>
      </w:r>
      <w:r w:rsidR="00E2370F">
        <w:t>anuary</w:t>
      </w:r>
      <w:r w:rsidR="001D4AFD">
        <w:t xml:space="preserve"> 27, 20</w:t>
      </w:r>
      <w:r w:rsidR="00E2370F">
        <w:t>26</w:t>
      </w:r>
    </w:p>
    <w:p w14:paraId="39814F49" w14:textId="21A3D929" w:rsidR="008927BB" w:rsidRDefault="008927BB" w:rsidP="008927BB">
      <w:pPr>
        <w:pStyle w:val="Heading1"/>
        <w:spacing w:before="1"/>
        <w:ind w:left="0" w:right="2187" w:firstLine="0"/>
      </w:pPr>
    </w:p>
    <w:p w14:paraId="30CB69E1" w14:textId="77777777" w:rsidR="008927BB" w:rsidRDefault="008927BB" w:rsidP="008927BB">
      <w:pPr>
        <w:pStyle w:val="Heading1"/>
        <w:spacing w:before="1"/>
        <w:ind w:left="0" w:right="2187" w:firstLine="0"/>
      </w:pPr>
    </w:p>
    <w:p w14:paraId="06A9A5B9" w14:textId="37EA6D77" w:rsidR="001D4AFD" w:rsidRPr="001D4AFD" w:rsidRDefault="00E2370F" w:rsidP="001D4AFD">
      <w:pPr>
        <w:spacing w:before="1"/>
        <w:jc w:val="center"/>
        <w:rPr>
          <w:rFonts w:ascii="Arial" w:eastAsia="Arial" w:hAnsi="Arial" w:cs="Arial"/>
          <w:b/>
          <w:bCs/>
          <w:sz w:val="24"/>
          <w:szCs w:val="24"/>
          <w:lang w:bidi="en-US"/>
        </w:rPr>
      </w:pPr>
      <w:r>
        <w:rPr>
          <w:rFonts w:ascii="Arial" w:eastAsia="Arial" w:hAnsi="Arial" w:cs="Arial"/>
          <w:b/>
          <w:bCs/>
          <w:sz w:val="24"/>
          <w:szCs w:val="24"/>
          <w:lang w:bidi="en-US"/>
        </w:rPr>
        <w:t>BI-DIRECTIONAL AMPLIFIERS AND DISTRIBUTIVE ANTENNA SYSTEMS</w:t>
      </w:r>
      <w:r w:rsidR="001D4AFD">
        <w:rPr>
          <w:rFonts w:ascii="Arial" w:eastAsia="Arial" w:hAnsi="Arial" w:cs="Arial"/>
          <w:b/>
          <w:bCs/>
          <w:sz w:val="24"/>
          <w:szCs w:val="24"/>
          <w:lang w:bidi="en-US"/>
        </w:rPr>
        <w:t xml:space="preserve"> POLICY</w:t>
      </w:r>
    </w:p>
    <w:p w14:paraId="35475A89" w14:textId="77777777" w:rsidR="008927BB" w:rsidRDefault="008927BB" w:rsidP="008927BB">
      <w:pPr>
        <w:pStyle w:val="Heading1"/>
        <w:spacing w:before="1"/>
        <w:ind w:left="0" w:right="2187" w:firstLine="0"/>
        <w:jc w:val="center"/>
      </w:pPr>
    </w:p>
    <w:p w14:paraId="0D6919AE" w14:textId="77777777" w:rsidR="008927BB" w:rsidRPr="008927BB" w:rsidRDefault="001D4AFD" w:rsidP="008927BB">
      <w:pPr>
        <w:pStyle w:val="Heading1"/>
        <w:numPr>
          <w:ilvl w:val="0"/>
          <w:numId w:val="3"/>
        </w:numPr>
        <w:spacing w:before="1"/>
        <w:ind w:right="2187"/>
        <w:rPr>
          <w:sz w:val="20"/>
        </w:rPr>
      </w:pPr>
      <w:r>
        <w:t>PURPOSE</w:t>
      </w:r>
    </w:p>
    <w:p w14:paraId="140AEEDF" w14:textId="77777777" w:rsidR="008927BB" w:rsidRPr="008927BB" w:rsidRDefault="008927BB" w:rsidP="008927BB">
      <w:pPr>
        <w:pStyle w:val="Heading1"/>
        <w:spacing w:before="1"/>
        <w:ind w:left="1080" w:right="2187" w:firstLine="0"/>
        <w:rPr>
          <w:sz w:val="20"/>
        </w:rPr>
      </w:pPr>
    </w:p>
    <w:p w14:paraId="36113C68" w14:textId="77777777" w:rsidR="00E2370F" w:rsidRDefault="00E2370F" w:rsidP="00E2370F">
      <w:pPr>
        <w:ind w:left="1080"/>
      </w:pPr>
      <w:r>
        <w:t>This policy establishes the requirements, procedures, and responsibilities governing the     deployment and use of Bi-Directional Amplifiers (BDAs) and Distributed Antenna Systems (DAS) to ensure compatibility, network integrity, and reliable in-building coverage for users of the Louisiana Wireless Information Network (LWIN).  The LWIN system is a statewide Project 25 (P25) digital trunked radio network designed to provide interoperable communications for Louisiana’s public safety and emergency response community. Improperly installed or unauthorized BDAs/DAS can cause harmful interference, degrade network performance, and compromise mission-critical voice communications. This policy ensures any signal enhancement devices are properly coordinated and approved.</w:t>
      </w:r>
    </w:p>
    <w:p w14:paraId="546539F2" w14:textId="77777777" w:rsidR="008927BB" w:rsidRPr="008927BB" w:rsidRDefault="008927BB" w:rsidP="008927BB">
      <w:pPr>
        <w:pStyle w:val="Heading1"/>
        <w:spacing w:before="1"/>
        <w:ind w:left="1080" w:right="2187" w:firstLine="0"/>
        <w:rPr>
          <w:sz w:val="20"/>
        </w:rPr>
      </w:pPr>
    </w:p>
    <w:p w14:paraId="4A6CEEDA" w14:textId="61E62A7E" w:rsidR="008927BB" w:rsidRPr="00E2370F" w:rsidRDefault="00E2370F" w:rsidP="008927BB">
      <w:pPr>
        <w:pStyle w:val="Heading1"/>
        <w:numPr>
          <w:ilvl w:val="0"/>
          <w:numId w:val="3"/>
        </w:numPr>
        <w:spacing w:before="1"/>
        <w:ind w:right="2187"/>
        <w:rPr>
          <w:sz w:val="20"/>
        </w:rPr>
      </w:pPr>
      <w:r>
        <w:t>SCOPE</w:t>
      </w:r>
    </w:p>
    <w:p w14:paraId="63B016F7" w14:textId="77777777" w:rsidR="00E2370F" w:rsidRPr="008927BB" w:rsidRDefault="00E2370F" w:rsidP="00E2370F">
      <w:pPr>
        <w:pStyle w:val="Heading1"/>
        <w:spacing w:before="1"/>
        <w:ind w:left="1080" w:right="2187" w:firstLine="0"/>
        <w:rPr>
          <w:sz w:val="20"/>
        </w:rPr>
      </w:pPr>
    </w:p>
    <w:p w14:paraId="5013F74A" w14:textId="6160F614" w:rsidR="008927BB" w:rsidRPr="00E2370F" w:rsidRDefault="00E2370F" w:rsidP="001D4AFD">
      <w:pPr>
        <w:pStyle w:val="BodyText"/>
        <w:ind w:left="1080" w:right="1043"/>
        <w:jc w:val="both"/>
      </w:pPr>
      <w:r w:rsidRPr="00E2370F">
        <w:t>This policy applies to all federal, state, parish, municipal, and tribal agencies; contractors; and private entities that install or operate radio frequency (RF) enhancement systems designed to extend or rebroadcast LWIN signals. It applies to both public safety and non-public safety use within the State of Louisiana.</w:t>
      </w:r>
    </w:p>
    <w:p w14:paraId="475D5467" w14:textId="77777777" w:rsidR="008927BB" w:rsidRPr="008927BB" w:rsidRDefault="008927BB" w:rsidP="008927BB">
      <w:pPr>
        <w:pStyle w:val="Heading1"/>
        <w:spacing w:before="1"/>
        <w:ind w:right="2187"/>
        <w:rPr>
          <w:sz w:val="20"/>
        </w:rPr>
      </w:pPr>
    </w:p>
    <w:p w14:paraId="627BC610" w14:textId="50D71510" w:rsidR="008927BB" w:rsidRPr="008927BB" w:rsidRDefault="00E2370F" w:rsidP="008927BB">
      <w:pPr>
        <w:pStyle w:val="Heading1"/>
        <w:numPr>
          <w:ilvl w:val="0"/>
          <w:numId w:val="3"/>
        </w:numPr>
        <w:spacing w:before="1"/>
        <w:ind w:right="2187"/>
        <w:rPr>
          <w:sz w:val="20"/>
        </w:rPr>
      </w:pPr>
      <w:r>
        <w:t>DEFINITIONS</w:t>
      </w:r>
    </w:p>
    <w:p w14:paraId="416A3B10" w14:textId="77777777" w:rsidR="008927BB" w:rsidRDefault="008927BB" w:rsidP="008927BB">
      <w:pPr>
        <w:pStyle w:val="Heading1"/>
        <w:spacing w:before="1"/>
        <w:ind w:right="2187"/>
      </w:pPr>
    </w:p>
    <w:p w14:paraId="0DB7CA06" w14:textId="77777777" w:rsidR="00E2370F" w:rsidRPr="00D6298D" w:rsidRDefault="00E2370F" w:rsidP="00E2370F">
      <w:pPr>
        <w:ind w:left="1440"/>
      </w:pPr>
      <w:r>
        <w:t>- Authority Having Jurisdiction: Louisiana Office of State Fire Marshal as specific rulemaking agency under the Louisiana Administrative Code Title 55 Part V. Fire Protection.</w:t>
      </w:r>
    </w:p>
    <w:p w14:paraId="5ECE04A5" w14:textId="77777777" w:rsidR="00E2370F" w:rsidRDefault="00E2370F" w:rsidP="00E2370F">
      <w:pPr>
        <w:ind w:left="1440"/>
      </w:pPr>
      <w:r>
        <w:t>- Bi-Directional Amplifier (BDA): A device that amplifies and rebroadcasts RF signals in both directions between a base station and user radios.</w:t>
      </w:r>
    </w:p>
    <w:p w14:paraId="20951E30" w14:textId="77777777" w:rsidR="00E2370F" w:rsidRDefault="00E2370F" w:rsidP="00E2370F">
      <w:pPr>
        <w:ind w:left="1440"/>
      </w:pPr>
      <w:r>
        <w:t>- Distributed Antenna System (DAS): A network of antennas connected to a common signal source that distributes RF coverage within a building or area.</w:t>
      </w:r>
    </w:p>
    <w:p w14:paraId="13B3CEAA" w14:textId="763ABA6E" w:rsidR="00E2370F" w:rsidRDefault="00E2370F" w:rsidP="00EE1A2A">
      <w:pPr>
        <w:ind w:left="1440"/>
      </w:pPr>
      <w:r w:rsidRPr="003E28B0">
        <w:lastRenderedPageBreak/>
        <w:t xml:space="preserve">- FCC Licensee:  </w:t>
      </w:r>
      <w:r w:rsidR="00A27584">
        <w:t>State of Louisiana-</w:t>
      </w:r>
      <w:r w:rsidRPr="003E28B0">
        <w:t xml:space="preserve">Louisiana State Police, which holds the FCC licenses for </w:t>
      </w:r>
      <w:r w:rsidR="00A27584">
        <w:t xml:space="preserve">  </w:t>
      </w:r>
      <w:r w:rsidRPr="003E28B0">
        <w:t>the LWIN syste</w:t>
      </w:r>
      <w:r w:rsidRPr="00CF6B58">
        <w:t>m.</w:t>
      </w:r>
    </w:p>
    <w:p w14:paraId="57CBC6E9" w14:textId="77777777" w:rsidR="00E2370F" w:rsidRDefault="00E2370F" w:rsidP="00E2370F"/>
    <w:p w14:paraId="740BFE36" w14:textId="346668B5" w:rsidR="00E2370F" w:rsidRDefault="00E2370F" w:rsidP="00E2370F">
      <w:pPr>
        <w:ind w:left="1440"/>
      </w:pPr>
      <w:r>
        <w:t>- Interference: Any RF emission that degrades or disrupts the operation of the LWIN network or user communications.</w:t>
      </w:r>
    </w:p>
    <w:p w14:paraId="2F8E8934" w14:textId="77777777" w:rsidR="001D4AFD" w:rsidRDefault="001D4AFD" w:rsidP="001D4AFD">
      <w:pPr>
        <w:pStyle w:val="BodyText"/>
        <w:ind w:hanging="432"/>
      </w:pPr>
    </w:p>
    <w:p w14:paraId="0A325E58" w14:textId="1E92152B" w:rsidR="008927BB" w:rsidRPr="0017472B" w:rsidRDefault="00E2370F" w:rsidP="008927BB">
      <w:pPr>
        <w:pStyle w:val="Heading1"/>
        <w:numPr>
          <w:ilvl w:val="0"/>
          <w:numId w:val="3"/>
        </w:numPr>
        <w:spacing w:before="1"/>
        <w:ind w:right="2187"/>
        <w:rPr>
          <w:sz w:val="20"/>
        </w:rPr>
      </w:pPr>
      <w:r>
        <w:t>PROCEEDURE</w:t>
      </w:r>
    </w:p>
    <w:p w14:paraId="41AA27B7" w14:textId="77777777" w:rsidR="0017472B" w:rsidRPr="008927BB" w:rsidRDefault="0017472B" w:rsidP="0017472B">
      <w:pPr>
        <w:pStyle w:val="Heading1"/>
        <w:spacing w:before="1"/>
        <w:ind w:left="1080" w:right="2187" w:firstLine="0"/>
        <w:rPr>
          <w:sz w:val="20"/>
        </w:rPr>
      </w:pPr>
    </w:p>
    <w:p w14:paraId="495A1043" w14:textId="77777777" w:rsidR="008927BB" w:rsidRDefault="008927BB" w:rsidP="008927BB">
      <w:pPr>
        <w:pStyle w:val="Heading1"/>
        <w:spacing w:before="1"/>
        <w:ind w:right="2187"/>
        <w:rPr>
          <w:sz w:val="20"/>
        </w:rPr>
      </w:pPr>
    </w:p>
    <w:p w14:paraId="410CF5A4" w14:textId="49D2757C" w:rsidR="00E2370F" w:rsidRPr="00E2370F" w:rsidRDefault="00E2370F" w:rsidP="00E2370F">
      <w:pPr>
        <w:ind w:left="360" w:firstLine="720"/>
        <w:rPr>
          <w:b/>
          <w:bCs/>
        </w:rPr>
      </w:pPr>
      <w:r w:rsidRPr="00E2370F">
        <w:rPr>
          <w:b/>
          <w:bCs/>
        </w:rPr>
        <w:t>4.1 Authorization Required</w:t>
      </w:r>
    </w:p>
    <w:p w14:paraId="29386401" w14:textId="77777777" w:rsidR="00E2370F" w:rsidRDefault="00E2370F" w:rsidP="00E2370F">
      <w:pPr>
        <w:ind w:left="1440"/>
      </w:pPr>
      <w:r>
        <w:t>No BDA or DAS may be installed, activated, or operated to amplify or retransmit LWIN signals without prior written approval from the Louisiana Statewide Interoperability Executive Committee (LA SIEC) or its designated technical representative.</w:t>
      </w:r>
    </w:p>
    <w:p w14:paraId="73614284" w14:textId="77777777" w:rsidR="00E2370F" w:rsidRDefault="00E2370F" w:rsidP="00E2370F"/>
    <w:p w14:paraId="7541BF15" w14:textId="4CE27943" w:rsidR="00E2370F" w:rsidRPr="00E2370F" w:rsidRDefault="00E2370F" w:rsidP="00E2370F">
      <w:pPr>
        <w:ind w:left="720"/>
        <w:rPr>
          <w:b/>
          <w:bCs/>
        </w:rPr>
      </w:pPr>
      <w:r>
        <w:rPr>
          <w:b/>
          <w:bCs/>
        </w:rPr>
        <w:t xml:space="preserve">      4</w:t>
      </w:r>
      <w:r w:rsidRPr="00E2370F">
        <w:rPr>
          <w:b/>
          <w:bCs/>
        </w:rPr>
        <w:t>.2 Compliance Standards</w:t>
      </w:r>
    </w:p>
    <w:p w14:paraId="764C6FA7" w14:textId="77777777" w:rsidR="00E2370F" w:rsidRDefault="00E2370F" w:rsidP="00E2370F">
      <w:pPr>
        <w:ind w:left="720" w:firstLine="720"/>
      </w:pPr>
      <w:r>
        <w:t>All approved BDAs/DAS must:</w:t>
      </w:r>
    </w:p>
    <w:p w14:paraId="6D645094" w14:textId="77777777" w:rsidR="00E2370F" w:rsidRDefault="00E2370F" w:rsidP="00E2370F">
      <w:pPr>
        <w:ind w:left="720" w:firstLine="720"/>
      </w:pPr>
      <w:r>
        <w:t>- Be FCC Part 90-compliant and certified for P25 digital trunked systems.</w:t>
      </w:r>
    </w:p>
    <w:p w14:paraId="3C7421CC" w14:textId="77777777" w:rsidR="00E2370F" w:rsidRDefault="00E2370F" w:rsidP="00E2370F">
      <w:pPr>
        <w:ind w:left="720" w:firstLine="720"/>
      </w:pPr>
      <w:r>
        <w:t xml:space="preserve">- Operate </w:t>
      </w:r>
      <w:proofErr w:type="gramStart"/>
      <w:r>
        <w:t>only on</w:t>
      </w:r>
      <w:proofErr w:type="gramEnd"/>
      <w:r>
        <w:t xml:space="preserve"> LWIN-assigned frequencies and not exceed licensed emission limits.</w:t>
      </w:r>
    </w:p>
    <w:p w14:paraId="4E415577" w14:textId="2FE41113" w:rsidR="00E2370F" w:rsidRDefault="00E2370F" w:rsidP="00E2370F">
      <w:pPr>
        <w:ind w:left="1440"/>
      </w:pPr>
      <w:r>
        <w:t>- Include automatic shutdown features in the event of oscillation, interference, or out-of</w:t>
      </w:r>
      <w:proofErr w:type="gramStart"/>
      <w:r>
        <w:t>-  band</w:t>
      </w:r>
      <w:proofErr w:type="gramEnd"/>
      <w:r>
        <w:t xml:space="preserve"> emissions.</w:t>
      </w:r>
    </w:p>
    <w:p w14:paraId="3B78A593" w14:textId="77777777" w:rsidR="00E2370F" w:rsidRDefault="00E2370F" w:rsidP="00E2370F">
      <w:pPr>
        <w:ind w:left="1440"/>
      </w:pPr>
      <w:r>
        <w:t>- Be professionally engineered and installed in accordance with manufacturer specifications, NFPA 1221/1225, and local building/fire codes.  Specifically, the 2013 Edition of NFPA 1221 or later edition of NFPA 1221/1225.</w:t>
      </w:r>
    </w:p>
    <w:p w14:paraId="1E74CF19" w14:textId="77777777" w:rsidR="00E2370F" w:rsidRDefault="00E2370F" w:rsidP="00E2370F"/>
    <w:p w14:paraId="0239ABA2" w14:textId="6CF956DA" w:rsidR="00E2370F" w:rsidRPr="00E2370F" w:rsidRDefault="00E2370F" w:rsidP="00E2370F">
      <w:pPr>
        <w:ind w:firstLine="720"/>
        <w:rPr>
          <w:b/>
          <w:bCs/>
        </w:rPr>
      </w:pPr>
      <w:r>
        <w:rPr>
          <w:b/>
          <w:bCs/>
        </w:rPr>
        <w:t xml:space="preserve">       </w:t>
      </w:r>
      <w:r w:rsidRPr="00E2370F">
        <w:rPr>
          <w:b/>
          <w:bCs/>
        </w:rPr>
        <w:t>4.3 Engineering Review</w:t>
      </w:r>
    </w:p>
    <w:p w14:paraId="797A0624" w14:textId="77777777" w:rsidR="00E2370F" w:rsidRDefault="00E2370F" w:rsidP="00E2370F">
      <w:pPr>
        <w:ind w:left="1440"/>
      </w:pPr>
      <w:r>
        <w:t>Applicants must submit a BDA/DAS Request Form to LA SIEC, coverage analysis, system design drawings, and contact information for the licensed installer. The LA SIEC Technical Sub-Committee and the LSP MCS will review applications for technical compatibility and potential network impact.  NOTE: This is separate and apart from any mandated Plan Review in compliance with Louisiana Office of State Fire Marshal Rules and Regulations.</w:t>
      </w:r>
    </w:p>
    <w:p w14:paraId="594A9E4C" w14:textId="77777777" w:rsidR="00E2370F" w:rsidRDefault="00E2370F" w:rsidP="00E2370F"/>
    <w:p w14:paraId="1EA7A6E6" w14:textId="108A49DA" w:rsidR="00E2370F" w:rsidRPr="00E2370F" w:rsidRDefault="00E2370F" w:rsidP="00E2370F">
      <w:pPr>
        <w:ind w:firstLine="720"/>
        <w:rPr>
          <w:b/>
          <w:bCs/>
        </w:rPr>
      </w:pPr>
      <w:r>
        <w:rPr>
          <w:b/>
          <w:bCs/>
        </w:rPr>
        <w:t xml:space="preserve">       </w:t>
      </w:r>
      <w:r w:rsidRPr="00E2370F">
        <w:rPr>
          <w:b/>
          <w:bCs/>
        </w:rPr>
        <w:t>4.4 Testing and Acceptance</w:t>
      </w:r>
    </w:p>
    <w:p w14:paraId="20BA7E81" w14:textId="77777777" w:rsidR="00E2370F" w:rsidRDefault="00E2370F" w:rsidP="00E2370F">
      <w:pPr>
        <w:ind w:left="1440"/>
      </w:pPr>
      <w:r>
        <w:t>Upon installation, the system must undergo commissioning tests in coordination with SIEC/MCS staff. Acceptance testing shall confirm uplink and downlink signal quality, isolation from external RF sources, and proper gain settings. A written Certification of Compliance must be filed prior to activation.</w:t>
      </w:r>
    </w:p>
    <w:p w14:paraId="2D93D024" w14:textId="77777777" w:rsidR="00E2370F" w:rsidRDefault="00E2370F" w:rsidP="00E2370F"/>
    <w:p w14:paraId="1AA4AE2D" w14:textId="1DE06017" w:rsidR="00E2370F" w:rsidRPr="00E2370F" w:rsidRDefault="00E2370F" w:rsidP="00E2370F">
      <w:pPr>
        <w:ind w:firstLine="720"/>
        <w:rPr>
          <w:b/>
          <w:bCs/>
        </w:rPr>
      </w:pPr>
      <w:r>
        <w:rPr>
          <w:b/>
          <w:bCs/>
        </w:rPr>
        <w:t xml:space="preserve">       </w:t>
      </w:r>
      <w:r w:rsidRPr="00E2370F">
        <w:rPr>
          <w:b/>
          <w:bCs/>
        </w:rPr>
        <w:t>4.5 Maintenance and Monitoring</w:t>
      </w:r>
    </w:p>
    <w:p w14:paraId="3ABAB78F" w14:textId="77777777" w:rsidR="00E2370F" w:rsidRDefault="00E2370F" w:rsidP="00E2370F">
      <w:pPr>
        <w:ind w:left="1440"/>
      </w:pPr>
      <w:r>
        <w:t>Operators must perform annual inspections and maintain a service log. Any malfunction or interference event must be reported to SIEC/MCS within 24 hours. SIEC/MCS reserves the right to inspect, disable, or require removal of any device causing harmful interference.</w:t>
      </w:r>
    </w:p>
    <w:p w14:paraId="2820C02B" w14:textId="77777777" w:rsidR="00E2370F" w:rsidRDefault="00E2370F" w:rsidP="00E2370F"/>
    <w:p w14:paraId="0B78F596" w14:textId="0FE1F7CD" w:rsidR="00E2370F" w:rsidRPr="00E2370F" w:rsidRDefault="00E2370F" w:rsidP="00E2370F">
      <w:pPr>
        <w:ind w:firstLine="720"/>
        <w:rPr>
          <w:b/>
          <w:bCs/>
        </w:rPr>
      </w:pPr>
      <w:r>
        <w:rPr>
          <w:b/>
          <w:bCs/>
        </w:rPr>
        <w:t xml:space="preserve">       </w:t>
      </w:r>
      <w:r w:rsidRPr="00E2370F">
        <w:rPr>
          <w:b/>
          <w:bCs/>
        </w:rPr>
        <w:t>4.6 Unauthorized Devices</w:t>
      </w:r>
    </w:p>
    <w:p w14:paraId="3A72254E" w14:textId="77777777" w:rsidR="00E2370F" w:rsidRDefault="00E2370F" w:rsidP="00E2370F">
      <w:pPr>
        <w:ind w:left="1440"/>
      </w:pPr>
      <w:r>
        <w:t>Any BDA/DAS operating on LWIN frequencies without authorization shall be considered illegal under FCC regulations (47 CFR Part 90.219) and subject to enforcement action.</w:t>
      </w:r>
    </w:p>
    <w:p w14:paraId="34805244" w14:textId="77777777" w:rsidR="00286215" w:rsidRDefault="00286215" w:rsidP="00E2370F">
      <w:pPr>
        <w:ind w:left="1440"/>
      </w:pPr>
    </w:p>
    <w:p w14:paraId="598A4997" w14:textId="28B66190" w:rsidR="00286215" w:rsidRDefault="00286215" w:rsidP="00286215">
      <w:pPr>
        <w:pStyle w:val="Heading2"/>
        <w:numPr>
          <w:ilvl w:val="0"/>
          <w:numId w:val="3"/>
        </w:numPr>
        <w:rPr>
          <w:rFonts w:ascii="Arial" w:hAnsi="Arial" w:cs="Arial"/>
          <w:b/>
          <w:bCs/>
          <w:color w:val="auto"/>
          <w:sz w:val="24"/>
          <w:szCs w:val="24"/>
        </w:rPr>
      </w:pPr>
      <w:r>
        <w:rPr>
          <w:rFonts w:ascii="Arial" w:hAnsi="Arial" w:cs="Arial"/>
          <w:b/>
          <w:bCs/>
          <w:color w:val="auto"/>
          <w:sz w:val="24"/>
          <w:szCs w:val="24"/>
        </w:rPr>
        <w:t>RESPONSIBILITIES</w:t>
      </w:r>
    </w:p>
    <w:p w14:paraId="0E111058" w14:textId="77777777" w:rsidR="00286215" w:rsidRPr="00286215" w:rsidRDefault="00286215" w:rsidP="00286215"/>
    <w:p w14:paraId="2936023E" w14:textId="77777777" w:rsidR="00286215" w:rsidRDefault="00286215" w:rsidP="00286215">
      <w:pPr>
        <w:ind w:left="1080"/>
      </w:pPr>
      <w:r>
        <w:t xml:space="preserve">SIEC/MCS: Approve/deny applications, maintain database, conduct interference </w:t>
      </w:r>
      <w:r>
        <w:lastRenderedPageBreak/>
        <w:t>investigations.</w:t>
      </w:r>
    </w:p>
    <w:p w14:paraId="1800DCF1" w14:textId="77777777" w:rsidR="00286215" w:rsidRDefault="00286215" w:rsidP="00286215">
      <w:pPr>
        <w:ind w:left="360" w:firstLine="720"/>
      </w:pPr>
      <w:r>
        <w:t>Applicant/Agency: Submit documentation, ensure compliance.</w:t>
      </w:r>
    </w:p>
    <w:p w14:paraId="7428C9E9" w14:textId="2FC4EF23" w:rsidR="00286215" w:rsidRDefault="00286215" w:rsidP="00286215">
      <w:pPr>
        <w:ind w:left="360" w:firstLine="720"/>
      </w:pPr>
      <w:r>
        <w:t>Installer: Design, installation, and test per approved specs.</w:t>
      </w:r>
    </w:p>
    <w:p w14:paraId="5BD6F0F8" w14:textId="3A3F1311" w:rsidR="00286215" w:rsidRDefault="00286215" w:rsidP="00286215">
      <w:pPr>
        <w:ind w:left="360" w:firstLine="720"/>
      </w:pPr>
      <w:r>
        <w:t>Facility Owner: Maintain system and provide inspection access.</w:t>
      </w:r>
    </w:p>
    <w:p w14:paraId="0A56587B" w14:textId="77777777" w:rsidR="00286215" w:rsidRDefault="00286215" w:rsidP="00286215">
      <w:pPr>
        <w:ind w:left="360" w:firstLine="720"/>
      </w:pPr>
    </w:p>
    <w:p w14:paraId="5FE747B6" w14:textId="39FA049F" w:rsidR="00286215" w:rsidRDefault="00286215" w:rsidP="00286215">
      <w:pPr>
        <w:pStyle w:val="Heading2"/>
        <w:numPr>
          <w:ilvl w:val="0"/>
          <w:numId w:val="3"/>
        </w:numPr>
        <w:rPr>
          <w:rFonts w:ascii="Arial" w:hAnsi="Arial" w:cs="Arial"/>
          <w:b/>
          <w:bCs/>
          <w:color w:val="auto"/>
          <w:sz w:val="24"/>
          <w:szCs w:val="24"/>
        </w:rPr>
      </w:pPr>
      <w:r>
        <w:rPr>
          <w:rFonts w:ascii="Arial" w:hAnsi="Arial" w:cs="Arial"/>
          <w:b/>
          <w:bCs/>
          <w:color w:val="auto"/>
          <w:sz w:val="24"/>
          <w:szCs w:val="24"/>
        </w:rPr>
        <w:t>ENFORCEMENT</w:t>
      </w:r>
    </w:p>
    <w:p w14:paraId="7E5D6E83" w14:textId="77777777" w:rsidR="00286215" w:rsidRPr="00286215" w:rsidRDefault="00286215" w:rsidP="00286215"/>
    <w:p w14:paraId="46B7075B" w14:textId="77777777" w:rsidR="00286215" w:rsidRDefault="00286215" w:rsidP="00286215">
      <w:pPr>
        <w:ind w:left="1080"/>
      </w:pPr>
      <w:r>
        <w:t>Violations may result in immediate deactivation, suspension of LWIN access, notification to FCC, or legal action.</w:t>
      </w:r>
    </w:p>
    <w:p w14:paraId="10BF6108" w14:textId="77777777" w:rsidR="00286215" w:rsidRDefault="00286215" w:rsidP="00286215">
      <w:pPr>
        <w:ind w:left="1080"/>
      </w:pPr>
    </w:p>
    <w:p w14:paraId="76A1F9A9" w14:textId="4FC23ECA" w:rsidR="00286215" w:rsidRDefault="00286215" w:rsidP="00286215">
      <w:pPr>
        <w:pStyle w:val="Heading2"/>
        <w:numPr>
          <w:ilvl w:val="0"/>
          <w:numId w:val="3"/>
        </w:numPr>
        <w:rPr>
          <w:rFonts w:ascii="Arial" w:hAnsi="Arial" w:cs="Arial"/>
          <w:b/>
          <w:bCs/>
          <w:color w:val="auto"/>
          <w:sz w:val="24"/>
          <w:szCs w:val="24"/>
        </w:rPr>
      </w:pPr>
      <w:r>
        <w:rPr>
          <w:rFonts w:ascii="Arial" w:hAnsi="Arial" w:cs="Arial"/>
          <w:b/>
          <w:bCs/>
          <w:color w:val="auto"/>
          <w:sz w:val="24"/>
          <w:szCs w:val="24"/>
        </w:rPr>
        <w:t>REFERENCES</w:t>
      </w:r>
    </w:p>
    <w:p w14:paraId="2DC3E8AF" w14:textId="77777777" w:rsidR="00286215" w:rsidRPr="00286215" w:rsidRDefault="00286215" w:rsidP="00286215">
      <w:pPr>
        <w:pStyle w:val="ListParagraph"/>
        <w:ind w:left="1080"/>
      </w:pPr>
    </w:p>
    <w:p w14:paraId="3EF3ACCD" w14:textId="77777777" w:rsidR="00286215" w:rsidRDefault="00286215" w:rsidP="00286215">
      <w:pPr>
        <w:ind w:left="360" w:firstLine="720"/>
      </w:pPr>
      <w:r>
        <w:t>- 47 CFR Part 90.219 – Use of signal boosters.</w:t>
      </w:r>
    </w:p>
    <w:p w14:paraId="2538F73C" w14:textId="77777777" w:rsidR="00286215" w:rsidRDefault="00286215" w:rsidP="00286215">
      <w:pPr>
        <w:ind w:left="720" w:firstLine="360"/>
      </w:pPr>
      <w:r>
        <w:t>- Louisiana Administrative Code Title 55: V Fire Protection Section 103 General Provisions.</w:t>
      </w:r>
    </w:p>
    <w:p w14:paraId="15718C92" w14:textId="77777777" w:rsidR="00286215" w:rsidRDefault="00286215" w:rsidP="00286215">
      <w:pPr>
        <w:ind w:left="1080"/>
      </w:pPr>
      <w:r>
        <w:t>- NFPA 1221 – Standard for the Installation, Maintenance and Use of Emergency Services   Communications Systems.   Specifically, the 2013 Edition.</w:t>
      </w:r>
    </w:p>
    <w:p w14:paraId="402A735D" w14:textId="77777777" w:rsidR="00286215" w:rsidRDefault="00286215" w:rsidP="00286215">
      <w:pPr>
        <w:ind w:left="360" w:firstLine="720"/>
      </w:pPr>
      <w:r>
        <w:t>- NFPA 1225 – Standard for Emergency Services Communications Infrastructure.</w:t>
      </w:r>
    </w:p>
    <w:p w14:paraId="379884B6" w14:textId="77777777" w:rsidR="00286215" w:rsidRDefault="00286215" w:rsidP="00286215">
      <w:pPr>
        <w:ind w:left="360" w:firstLine="720"/>
      </w:pPr>
      <w:r>
        <w:t>- TIA/EIA-222 – Structural standards for antenna supporting structures.</w:t>
      </w:r>
    </w:p>
    <w:p w14:paraId="7128105B" w14:textId="77777777" w:rsidR="00286215" w:rsidRDefault="00286215" w:rsidP="00286215">
      <w:pPr>
        <w:ind w:left="360" w:firstLine="720"/>
      </w:pPr>
      <w:r>
        <w:t>- LWIN System Governance Documents and Standard Operating Procedures (SOPs).</w:t>
      </w:r>
    </w:p>
    <w:p w14:paraId="011E6BFC" w14:textId="77777777" w:rsidR="00286215" w:rsidRDefault="00286215" w:rsidP="00E2370F">
      <w:pPr>
        <w:ind w:left="1440"/>
      </w:pPr>
    </w:p>
    <w:p w14:paraId="7F2C3AA1" w14:textId="77777777" w:rsidR="00E2370F" w:rsidRDefault="00E2370F" w:rsidP="00E2370F">
      <w:pPr>
        <w:ind w:left="1440"/>
      </w:pPr>
    </w:p>
    <w:p w14:paraId="5F94C56E" w14:textId="77777777" w:rsidR="008927BB" w:rsidRPr="008927BB" w:rsidRDefault="008927BB" w:rsidP="008927BB">
      <w:pPr>
        <w:pStyle w:val="Heading1"/>
        <w:spacing w:before="1"/>
        <w:ind w:right="2187"/>
        <w:rPr>
          <w:sz w:val="20"/>
        </w:rPr>
      </w:pPr>
    </w:p>
    <w:p w14:paraId="21BEB72A" w14:textId="7219814E" w:rsidR="00EE1A2A" w:rsidRDefault="00E2370F" w:rsidP="00EE1A2A">
      <w:pPr>
        <w:widowControl/>
        <w:autoSpaceDE/>
        <w:autoSpaceDN/>
        <w:spacing w:after="160" w:line="259" w:lineRule="auto"/>
        <w:ind w:left="1080"/>
        <w:contextualSpacing/>
      </w:pPr>
      <w:r>
        <w:t xml:space="preserve">Contact information for the SIEC, GOHSEP, and LSP MCS is provided on the LWIN website, </w:t>
      </w:r>
      <w:hyperlink r:id="rId11" w:history="1">
        <w:r w:rsidR="00EE1A2A" w:rsidRPr="00E008A7">
          <w:rPr>
            <w:rStyle w:val="Hyperlink"/>
          </w:rPr>
          <w:t>https://gohsep.la.gov/about/unified-command-group/interoperability-subcommittee/</w:t>
        </w:r>
      </w:hyperlink>
    </w:p>
    <w:p w14:paraId="7A12C050" w14:textId="2C8594A2" w:rsidR="00E2370F" w:rsidRDefault="00E2370F" w:rsidP="00E2370F">
      <w:pPr>
        <w:pStyle w:val="BodyText"/>
        <w:spacing w:before="93"/>
        <w:ind w:left="1080" w:right="1034"/>
      </w:pPr>
    </w:p>
    <w:p w14:paraId="6966FD47" w14:textId="77777777" w:rsidR="008927BB" w:rsidRDefault="008927BB" w:rsidP="008927BB">
      <w:pPr>
        <w:pStyle w:val="Heading1"/>
        <w:spacing w:before="1"/>
        <w:ind w:left="1080" w:right="2187" w:firstLine="0"/>
        <w:rPr>
          <w:sz w:val="20"/>
        </w:rPr>
      </w:pPr>
    </w:p>
    <w:sectPr w:rsidR="008927BB" w:rsidSect="008927BB">
      <w:headerReference w:type="default" r:id="rId12"/>
      <w:footerReference w:type="default" r:id="rId13"/>
      <w:type w:val="continuous"/>
      <w:pgSz w:w="12240" w:h="15840"/>
      <w:pgMar w:top="360" w:right="880" w:bottom="280" w:left="10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3A42A" w14:textId="77777777" w:rsidR="00993BA7" w:rsidRDefault="00993BA7" w:rsidP="00DB01C8">
      <w:r>
        <w:separator/>
      </w:r>
    </w:p>
  </w:endnote>
  <w:endnote w:type="continuationSeparator" w:id="0">
    <w:p w14:paraId="52C1FEA8" w14:textId="77777777" w:rsidR="00993BA7" w:rsidRDefault="00993BA7" w:rsidP="00DB0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Old English Text MT">
    <w:panose1 w:val="03040902040508030806"/>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2092A" w14:textId="77777777" w:rsidR="0087536F" w:rsidRDefault="0087536F" w:rsidP="0087536F">
    <w:pPr>
      <w:pStyle w:val="BodyText"/>
      <w:spacing w:before="1"/>
      <w:ind w:left="383"/>
      <w:rPr>
        <w:color w:val="003366"/>
      </w:rPr>
    </w:pPr>
    <w:r>
      <w:rPr>
        <w:color w:val="003366"/>
      </w:rPr>
      <w:t xml:space="preserve">7667 Independence Boulevard </w:t>
    </w:r>
    <w:r>
      <w:rPr>
        <w:rFonts w:ascii="Wingdings" w:hAnsi="Wingdings"/>
        <w:color w:val="003366"/>
      </w:rPr>
      <w:t></w:t>
    </w:r>
    <w:r>
      <w:rPr>
        <w:rFonts w:ascii="Times New Roman" w:hAnsi="Times New Roman"/>
        <w:color w:val="003366"/>
      </w:rPr>
      <w:t xml:space="preserve"> </w:t>
    </w:r>
    <w:r>
      <w:rPr>
        <w:color w:val="003366"/>
      </w:rPr>
      <w:t xml:space="preserve">Baton Rouge, Louisiana 70806 </w:t>
    </w:r>
    <w:r>
      <w:rPr>
        <w:rFonts w:ascii="Wingdings" w:hAnsi="Wingdings"/>
        <w:color w:val="003366"/>
      </w:rPr>
      <w:t></w:t>
    </w:r>
    <w:r>
      <w:rPr>
        <w:rFonts w:ascii="Times New Roman" w:hAnsi="Times New Roman"/>
        <w:color w:val="003366"/>
      </w:rPr>
      <w:t xml:space="preserve"> </w:t>
    </w:r>
    <w:r>
      <w:rPr>
        <w:color w:val="003366"/>
      </w:rPr>
      <w:t xml:space="preserve">(225) 925-7500 </w:t>
    </w:r>
    <w:r>
      <w:rPr>
        <w:rFonts w:ascii="Wingdings" w:hAnsi="Wingdings"/>
        <w:color w:val="003366"/>
      </w:rPr>
      <w:t></w:t>
    </w:r>
    <w:r>
      <w:rPr>
        <w:rFonts w:ascii="Times New Roman" w:hAnsi="Times New Roman"/>
        <w:color w:val="003366"/>
      </w:rPr>
      <w:t xml:space="preserve"> </w:t>
    </w:r>
    <w:r>
      <w:rPr>
        <w:color w:val="003366"/>
      </w:rPr>
      <w:t>Fax (225) 925-7501</w:t>
    </w:r>
  </w:p>
  <w:p w14:paraId="48F67782" w14:textId="77777777" w:rsidR="0087536F" w:rsidRDefault="0087536F" w:rsidP="0087536F">
    <w:pPr>
      <w:pStyle w:val="BodyText"/>
      <w:spacing w:before="1"/>
      <w:ind w:left="383"/>
      <w:jc w:val="center"/>
    </w:pPr>
    <w:r>
      <w:rPr>
        <w:color w:val="003366"/>
      </w:rPr>
      <w:t>Equal Opportunity Employer</w:t>
    </w:r>
  </w:p>
  <w:p w14:paraId="32539B9B" w14:textId="77777777" w:rsidR="0087536F" w:rsidRDefault="0087536F">
    <w:pPr>
      <w:pStyle w:val="Footer"/>
    </w:pPr>
  </w:p>
  <w:p w14:paraId="4C8559EE" w14:textId="77777777" w:rsidR="0087536F" w:rsidRDefault="008753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71056" w14:textId="41C99B36" w:rsidR="008927BB" w:rsidRDefault="001D4AFD">
    <w:pPr>
      <w:pStyle w:val="Footer"/>
      <w:jc w:val="right"/>
    </w:pPr>
    <w:r>
      <w:t>POLICY NUMBER 0</w:t>
    </w:r>
    <w:r w:rsidR="00E2370F">
      <w:t>1</w:t>
    </w:r>
    <w:r w:rsidR="0017472B">
      <w:t>2</w:t>
    </w:r>
    <w:r>
      <w:tab/>
    </w:r>
    <w:r>
      <w:tab/>
    </w:r>
    <w:r>
      <w:tab/>
    </w:r>
    <w:sdt>
      <w:sdtPr>
        <w:id w:val="135229127"/>
        <w:docPartObj>
          <w:docPartGallery w:val="Page Numbers (Bottom of Page)"/>
          <w:docPartUnique/>
        </w:docPartObj>
      </w:sdtPr>
      <w:sdtEndPr>
        <w:rPr>
          <w:noProof/>
        </w:rPr>
      </w:sdtEndPr>
      <w:sdtContent>
        <w:r w:rsidR="008927BB">
          <w:fldChar w:fldCharType="begin"/>
        </w:r>
        <w:r w:rsidR="008927BB">
          <w:instrText xml:space="preserve"> PAGE   \* MERGEFORMAT </w:instrText>
        </w:r>
        <w:r w:rsidR="008927BB">
          <w:fldChar w:fldCharType="separate"/>
        </w:r>
        <w:r>
          <w:rPr>
            <w:noProof/>
          </w:rPr>
          <w:t>2</w:t>
        </w:r>
        <w:r w:rsidR="008927BB">
          <w:rPr>
            <w:noProof/>
          </w:rPr>
          <w:fldChar w:fldCharType="end"/>
        </w:r>
      </w:sdtContent>
    </w:sdt>
  </w:p>
  <w:p w14:paraId="6A5A81B1" w14:textId="77777777" w:rsidR="001C2EF9" w:rsidRDefault="001C2E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DDBD7" w14:textId="77777777" w:rsidR="00993BA7" w:rsidRDefault="00993BA7" w:rsidP="00DB01C8">
      <w:r>
        <w:separator/>
      </w:r>
    </w:p>
  </w:footnote>
  <w:footnote w:type="continuationSeparator" w:id="0">
    <w:p w14:paraId="62A9BD58" w14:textId="77777777" w:rsidR="00993BA7" w:rsidRDefault="00993BA7" w:rsidP="00DB01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79329" w14:textId="630A0AA8" w:rsidR="008927BB" w:rsidRDefault="0017472B">
    <w:pPr>
      <w:pStyle w:val="Header"/>
    </w:pPr>
    <w:r>
      <w:t>BD</w:t>
    </w:r>
    <w:r w:rsidR="00E2370F">
      <w:t>A-DAS</w:t>
    </w:r>
    <w:r w:rsidR="001D4AFD">
      <w:t xml:space="preserve"> POLICY</w:t>
    </w:r>
    <w:r w:rsidR="008927BB">
      <w:ptab w:relativeTo="margin" w:alignment="center" w:leader="none"/>
    </w:r>
    <w:r w:rsidR="008927BB">
      <w:ptab w:relativeTo="margin" w:alignment="right" w:leader="none"/>
    </w:r>
    <w:r w:rsidR="00E2370F">
      <w:t>January 27,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31EE6"/>
    <w:multiLevelType w:val="multilevel"/>
    <w:tmpl w:val="72C6B83A"/>
    <w:lvl w:ilvl="0">
      <w:start w:val="1"/>
      <w:numFmt w:val="decimal"/>
      <w:lvlText w:val="%1"/>
      <w:lvlJc w:val="left"/>
      <w:pPr>
        <w:ind w:left="2080" w:hanging="720"/>
      </w:pPr>
      <w:rPr>
        <w:rFonts w:hint="default"/>
        <w:lang w:val="en-US" w:eastAsia="en-US" w:bidi="en-US"/>
      </w:rPr>
    </w:lvl>
    <w:lvl w:ilvl="1">
      <w:start w:val="1"/>
      <w:numFmt w:val="decimal"/>
      <w:lvlText w:val="%1.%2"/>
      <w:lvlJc w:val="left"/>
      <w:pPr>
        <w:ind w:left="2080" w:hanging="720"/>
      </w:pPr>
      <w:rPr>
        <w:rFonts w:ascii="Arial" w:eastAsia="Arial" w:hAnsi="Arial" w:cs="Arial" w:hint="default"/>
        <w:spacing w:val="-15"/>
        <w:w w:val="99"/>
        <w:sz w:val="24"/>
        <w:szCs w:val="24"/>
        <w:lang w:val="en-US" w:eastAsia="en-US" w:bidi="en-US"/>
      </w:rPr>
    </w:lvl>
    <w:lvl w:ilvl="2">
      <w:start w:val="1"/>
      <w:numFmt w:val="decimal"/>
      <w:lvlText w:val="%1.%2.%3"/>
      <w:lvlJc w:val="left"/>
      <w:pPr>
        <w:ind w:left="2080" w:hanging="720"/>
      </w:pPr>
      <w:rPr>
        <w:rFonts w:ascii="Arial" w:eastAsia="Arial" w:hAnsi="Arial" w:cs="Arial" w:hint="default"/>
        <w:spacing w:val="-2"/>
        <w:w w:val="99"/>
        <w:sz w:val="24"/>
        <w:szCs w:val="24"/>
        <w:lang w:val="en-US" w:eastAsia="en-US" w:bidi="en-US"/>
      </w:rPr>
    </w:lvl>
    <w:lvl w:ilvl="3">
      <w:numFmt w:val="bullet"/>
      <w:lvlText w:val="•"/>
      <w:lvlJc w:val="left"/>
      <w:pPr>
        <w:ind w:left="4834" w:hanging="720"/>
      </w:pPr>
      <w:rPr>
        <w:rFonts w:hint="default"/>
        <w:lang w:val="en-US" w:eastAsia="en-US" w:bidi="en-US"/>
      </w:rPr>
    </w:lvl>
    <w:lvl w:ilvl="4">
      <w:numFmt w:val="bullet"/>
      <w:lvlText w:val="•"/>
      <w:lvlJc w:val="left"/>
      <w:pPr>
        <w:ind w:left="5752" w:hanging="720"/>
      </w:pPr>
      <w:rPr>
        <w:rFonts w:hint="default"/>
        <w:lang w:val="en-US" w:eastAsia="en-US" w:bidi="en-US"/>
      </w:rPr>
    </w:lvl>
    <w:lvl w:ilvl="5">
      <w:numFmt w:val="bullet"/>
      <w:lvlText w:val="•"/>
      <w:lvlJc w:val="left"/>
      <w:pPr>
        <w:ind w:left="6670" w:hanging="720"/>
      </w:pPr>
      <w:rPr>
        <w:rFonts w:hint="default"/>
        <w:lang w:val="en-US" w:eastAsia="en-US" w:bidi="en-US"/>
      </w:rPr>
    </w:lvl>
    <w:lvl w:ilvl="6">
      <w:numFmt w:val="bullet"/>
      <w:lvlText w:val="•"/>
      <w:lvlJc w:val="left"/>
      <w:pPr>
        <w:ind w:left="7588" w:hanging="720"/>
      </w:pPr>
      <w:rPr>
        <w:rFonts w:hint="default"/>
        <w:lang w:val="en-US" w:eastAsia="en-US" w:bidi="en-US"/>
      </w:rPr>
    </w:lvl>
    <w:lvl w:ilvl="7">
      <w:numFmt w:val="bullet"/>
      <w:lvlText w:val="•"/>
      <w:lvlJc w:val="left"/>
      <w:pPr>
        <w:ind w:left="8506" w:hanging="720"/>
      </w:pPr>
      <w:rPr>
        <w:rFonts w:hint="default"/>
        <w:lang w:val="en-US" w:eastAsia="en-US" w:bidi="en-US"/>
      </w:rPr>
    </w:lvl>
    <w:lvl w:ilvl="8">
      <w:numFmt w:val="bullet"/>
      <w:lvlText w:val="•"/>
      <w:lvlJc w:val="left"/>
      <w:pPr>
        <w:ind w:left="9424" w:hanging="720"/>
      </w:pPr>
      <w:rPr>
        <w:rFonts w:hint="default"/>
        <w:lang w:val="en-US" w:eastAsia="en-US" w:bidi="en-US"/>
      </w:rPr>
    </w:lvl>
  </w:abstractNum>
  <w:abstractNum w:abstractNumId="1" w15:restartNumberingAfterBreak="0">
    <w:nsid w:val="59DC0610"/>
    <w:multiLevelType w:val="hybridMultilevel"/>
    <w:tmpl w:val="4E768F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0667094"/>
    <w:multiLevelType w:val="hybridMultilevel"/>
    <w:tmpl w:val="382C7890"/>
    <w:lvl w:ilvl="0" w:tplc="41467064">
      <w:start w:val="1"/>
      <w:numFmt w:val="upperRoman"/>
      <w:lvlText w:val="%1."/>
      <w:lvlJc w:val="left"/>
      <w:pPr>
        <w:ind w:left="1080" w:hanging="72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8B70C09"/>
    <w:multiLevelType w:val="hybridMultilevel"/>
    <w:tmpl w:val="C92400DC"/>
    <w:lvl w:ilvl="0" w:tplc="7AFC93B8">
      <w:start w:val="1"/>
      <w:numFmt w:val="upperRoman"/>
      <w:lvlText w:val="%1."/>
      <w:lvlJc w:val="left"/>
      <w:pPr>
        <w:ind w:left="1440" w:hanging="360"/>
      </w:pPr>
      <w:rPr>
        <w:rFonts w:ascii="Arial" w:eastAsia="Arial" w:hAnsi="Arial" w:cs="Arial" w:hint="default"/>
        <w:b/>
        <w:bCs/>
        <w:w w:val="99"/>
        <w:sz w:val="24"/>
        <w:szCs w:val="24"/>
        <w:lang w:val="en-US" w:eastAsia="en-US" w:bidi="en-US"/>
      </w:rPr>
    </w:lvl>
    <w:lvl w:ilvl="1" w:tplc="834EEEA2">
      <w:numFmt w:val="bullet"/>
      <w:lvlText w:val="•"/>
      <w:lvlJc w:val="left"/>
      <w:pPr>
        <w:ind w:left="4320" w:hanging="360"/>
      </w:pPr>
      <w:rPr>
        <w:rFonts w:hint="default"/>
        <w:lang w:val="en-US" w:eastAsia="en-US" w:bidi="en-US"/>
      </w:rPr>
    </w:lvl>
    <w:lvl w:ilvl="2" w:tplc="4EBCF02A">
      <w:numFmt w:val="bullet"/>
      <w:lvlText w:val="•"/>
      <w:lvlJc w:val="left"/>
      <w:pPr>
        <w:ind w:left="5026" w:hanging="360"/>
      </w:pPr>
      <w:rPr>
        <w:rFonts w:hint="default"/>
        <w:lang w:val="en-US" w:eastAsia="en-US" w:bidi="en-US"/>
      </w:rPr>
    </w:lvl>
    <w:lvl w:ilvl="3" w:tplc="2D4E5FA8">
      <w:numFmt w:val="bullet"/>
      <w:lvlText w:val="•"/>
      <w:lvlJc w:val="left"/>
      <w:pPr>
        <w:ind w:left="5733" w:hanging="360"/>
      </w:pPr>
      <w:rPr>
        <w:rFonts w:hint="default"/>
        <w:lang w:val="en-US" w:eastAsia="en-US" w:bidi="en-US"/>
      </w:rPr>
    </w:lvl>
    <w:lvl w:ilvl="4" w:tplc="4D7E4CF2">
      <w:numFmt w:val="bullet"/>
      <w:lvlText w:val="•"/>
      <w:lvlJc w:val="left"/>
      <w:pPr>
        <w:ind w:left="6440" w:hanging="360"/>
      </w:pPr>
      <w:rPr>
        <w:rFonts w:hint="default"/>
        <w:lang w:val="en-US" w:eastAsia="en-US" w:bidi="en-US"/>
      </w:rPr>
    </w:lvl>
    <w:lvl w:ilvl="5" w:tplc="39F4BEF8">
      <w:numFmt w:val="bullet"/>
      <w:lvlText w:val="•"/>
      <w:lvlJc w:val="left"/>
      <w:pPr>
        <w:ind w:left="7146" w:hanging="360"/>
      </w:pPr>
      <w:rPr>
        <w:rFonts w:hint="default"/>
        <w:lang w:val="en-US" w:eastAsia="en-US" w:bidi="en-US"/>
      </w:rPr>
    </w:lvl>
    <w:lvl w:ilvl="6" w:tplc="D15E86E6">
      <w:numFmt w:val="bullet"/>
      <w:lvlText w:val="•"/>
      <w:lvlJc w:val="left"/>
      <w:pPr>
        <w:ind w:left="7853" w:hanging="360"/>
      </w:pPr>
      <w:rPr>
        <w:rFonts w:hint="default"/>
        <w:lang w:val="en-US" w:eastAsia="en-US" w:bidi="en-US"/>
      </w:rPr>
    </w:lvl>
    <w:lvl w:ilvl="7" w:tplc="BE6842F4">
      <w:numFmt w:val="bullet"/>
      <w:lvlText w:val="•"/>
      <w:lvlJc w:val="left"/>
      <w:pPr>
        <w:ind w:left="8560" w:hanging="360"/>
      </w:pPr>
      <w:rPr>
        <w:rFonts w:hint="default"/>
        <w:lang w:val="en-US" w:eastAsia="en-US" w:bidi="en-US"/>
      </w:rPr>
    </w:lvl>
    <w:lvl w:ilvl="8" w:tplc="02FCCA14">
      <w:numFmt w:val="bullet"/>
      <w:lvlText w:val="•"/>
      <w:lvlJc w:val="left"/>
      <w:pPr>
        <w:ind w:left="9266" w:hanging="360"/>
      </w:pPr>
      <w:rPr>
        <w:rFonts w:hint="default"/>
        <w:lang w:val="en-US" w:eastAsia="en-US" w:bidi="en-US"/>
      </w:rPr>
    </w:lvl>
  </w:abstractNum>
  <w:num w:numId="1" w16cid:durableId="1331176259">
    <w:abstractNumId w:val="3"/>
  </w:num>
  <w:num w:numId="2" w16cid:durableId="1945307144">
    <w:abstractNumId w:val="0"/>
  </w:num>
  <w:num w:numId="3" w16cid:durableId="345639278">
    <w:abstractNumId w:val="2"/>
  </w:num>
  <w:num w:numId="4" w16cid:durableId="8125215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A8B"/>
    <w:rsid w:val="00031912"/>
    <w:rsid w:val="00047E3F"/>
    <w:rsid w:val="000D3FF7"/>
    <w:rsid w:val="0017472B"/>
    <w:rsid w:val="001C2EF9"/>
    <w:rsid w:val="001D4AFD"/>
    <w:rsid w:val="00286215"/>
    <w:rsid w:val="00367861"/>
    <w:rsid w:val="004E51A2"/>
    <w:rsid w:val="0069406B"/>
    <w:rsid w:val="0078275A"/>
    <w:rsid w:val="0087536F"/>
    <w:rsid w:val="008927BB"/>
    <w:rsid w:val="008A170B"/>
    <w:rsid w:val="00993BA7"/>
    <w:rsid w:val="00A27584"/>
    <w:rsid w:val="00A90A8B"/>
    <w:rsid w:val="00B31658"/>
    <w:rsid w:val="00BA3407"/>
    <w:rsid w:val="00C22B56"/>
    <w:rsid w:val="00C34A8C"/>
    <w:rsid w:val="00CF6B58"/>
    <w:rsid w:val="00D21D7B"/>
    <w:rsid w:val="00D55AC5"/>
    <w:rsid w:val="00D81E75"/>
    <w:rsid w:val="00DB01C8"/>
    <w:rsid w:val="00E2370F"/>
    <w:rsid w:val="00E90B0D"/>
    <w:rsid w:val="00EE1A2A"/>
    <w:rsid w:val="00F077AF"/>
    <w:rsid w:val="00F143A7"/>
    <w:rsid w:val="00F23C39"/>
    <w:rsid w:val="00FF21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993C23"/>
  <w15:docId w15:val="{08DAD5FB-33BD-4CF4-A21D-337540191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Book Antiqua" w:eastAsia="Book Antiqua" w:hAnsi="Book Antiqua" w:cs="Book Antiqua"/>
    </w:rPr>
  </w:style>
  <w:style w:type="paragraph" w:styleId="Heading1">
    <w:name w:val="heading 1"/>
    <w:basedOn w:val="Normal"/>
    <w:link w:val="Heading1Char"/>
    <w:uiPriority w:val="1"/>
    <w:qFormat/>
    <w:rsid w:val="00DB01C8"/>
    <w:pPr>
      <w:ind w:left="1440" w:hanging="361"/>
      <w:outlineLvl w:val="0"/>
    </w:pPr>
    <w:rPr>
      <w:rFonts w:ascii="Arial" w:eastAsia="Arial" w:hAnsi="Arial" w:cs="Arial"/>
      <w:b/>
      <w:bCs/>
      <w:sz w:val="24"/>
      <w:szCs w:val="24"/>
      <w:lang w:bidi="en-US"/>
    </w:rPr>
  </w:style>
  <w:style w:type="paragraph" w:styleId="Heading2">
    <w:name w:val="heading 2"/>
    <w:basedOn w:val="Normal"/>
    <w:next w:val="Normal"/>
    <w:link w:val="Heading2Char"/>
    <w:uiPriority w:val="9"/>
    <w:semiHidden/>
    <w:unhideWhenUsed/>
    <w:qFormat/>
    <w:rsid w:val="008927B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1"/>
    <w:rsid w:val="00DB01C8"/>
    <w:rPr>
      <w:rFonts w:ascii="Arial" w:eastAsia="Arial" w:hAnsi="Arial" w:cs="Arial"/>
      <w:b/>
      <w:bCs/>
      <w:sz w:val="24"/>
      <w:szCs w:val="24"/>
      <w:lang w:bidi="en-US"/>
    </w:rPr>
  </w:style>
  <w:style w:type="paragraph" w:styleId="Header">
    <w:name w:val="header"/>
    <w:basedOn w:val="Normal"/>
    <w:link w:val="HeaderChar"/>
    <w:uiPriority w:val="99"/>
    <w:unhideWhenUsed/>
    <w:rsid w:val="00DB01C8"/>
    <w:pPr>
      <w:tabs>
        <w:tab w:val="center" w:pos="4680"/>
        <w:tab w:val="right" w:pos="9360"/>
      </w:tabs>
    </w:pPr>
  </w:style>
  <w:style w:type="character" w:customStyle="1" w:styleId="HeaderChar">
    <w:name w:val="Header Char"/>
    <w:basedOn w:val="DefaultParagraphFont"/>
    <w:link w:val="Header"/>
    <w:uiPriority w:val="99"/>
    <w:rsid w:val="00DB01C8"/>
    <w:rPr>
      <w:rFonts w:ascii="Book Antiqua" w:eastAsia="Book Antiqua" w:hAnsi="Book Antiqua" w:cs="Book Antiqua"/>
    </w:rPr>
  </w:style>
  <w:style w:type="paragraph" w:styleId="Footer">
    <w:name w:val="footer"/>
    <w:basedOn w:val="Normal"/>
    <w:link w:val="FooterChar"/>
    <w:uiPriority w:val="99"/>
    <w:unhideWhenUsed/>
    <w:rsid w:val="00DB01C8"/>
    <w:pPr>
      <w:tabs>
        <w:tab w:val="center" w:pos="4680"/>
        <w:tab w:val="right" w:pos="9360"/>
      </w:tabs>
    </w:pPr>
  </w:style>
  <w:style w:type="character" w:customStyle="1" w:styleId="FooterChar">
    <w:name w:val="Footer Char"/>
    <w:basedOn w:val="DefaultParagraphFont"/>
    <w:link w:val="Footer"/>
    <w:uiPriority w:val="99"/>
    <w:rsid w:val="00DB01C8"/>
    <w:rPr>
      <w:rFonts w:ascii="Book Antiqua" w:eastAsia="Book Antiqua" w:hAnsi="Book Antiqua" w:cs="Book Antiqua"/>
    </w:rPr>
  </w:style>
  <w:style w:type="character" w:customStyle="1" w:styleId="Heading2Char">
    <w:name w:val="Heading 2 Char"/>
    <w:basedOn w:val="DefaultParagraphFont"/>
    <w:link w:val="Heading2"/>
    <w:uiPriority w:val="9"/>
    <w:semiHidden/>
    <w:rsid w:val="008927BB"/>
    <w:rPr>
      <w:rFonts w:asciiTheme="majorHAnsi" w:eastAsiaTheme="majorEastAsia" w:hAnsiTheme="majorHAnsi" w:cstheme="majorBidi"/>
      <w:color w:val="365F91" w:themeColor="accent1" w:themeShade="BF"/>
      <w:sz w:val="26"/>
      <w:szCs w:val="26"/>
    </w:rPr>
  </w:style>
  <w:style w:type="character" w:styleId="CommentReference">
    <w:name w:val="annotation reference"/>
    <w:basedOn w:val="DefaultParagraphFont"/>
    <w:uiPriority w:val="99"/>
    <w:semiHidden/>
    <w:unhideWhenUsed/>
    <w:rsid w:val="001D4AFD"/>
    <w:rPr>
      <w:sz w:val="16"/>
      <w:szCs w:val="16"/>
    </w:rPr>
  </w:style>
  <w:style w:type="paragraph" w:styleId="CommentText">
    <w:name w:val="annotation text"/>
    <w:basedOn w:val="Normal"/>
    <w:link w:val="CommentTextChar"/>
    <w:uiPriority w:val="99"/>
    <w:unhideWhenUsed/>
    <w:rsid w:val="001D4AFD"/>
    <w:rPr>
      <w:rFonts w:ascii="Arial" w:eastAsia="Arial" w:hAnsi="Arial" w:cs="Arial"/>
      <w:sz w:val="20"/>
      <w:szCs w:val="20"/>
      <w:lang w:bidi="en-US"/>
    </w:rPr>
  </w:style>
  <w:style w:type="character" w:customStyle="1" w:styleId="CommentTextChar">
    <w:name w:val="Comment Text Char"/>
    <w:basedOn w:val="DefaultParagraphFont"/>
    <w:link w:val="CommentText"/>
    <w:uiPriority w:val="99"/>
    <w:rsid w:val="001D4AFD"/>
    <w:rPr>
      <w:rFonts w:ascii="Arial" w:eastAsia="Arial" w:hAnsi="Arial" w:cs="Arial"/>
      <w:sz w:val="20"/>
      <w:szCs w:val="20"/>
      <w:lang w:bidi="en-US"/>
    </w:rPr>
  </w:style>
  <w:style w:type="character" w:styleId="Hyperlink">
    <w:name w:val="Hyperlink"/>
    <w:basedOn w:val="DefaultParagraphFont"/>
    <w:uiPriority w:val="99"/>
    <w:unhideWhenUsed/>
    <w:rsid w:val="00EE1A2A"/>
    <w:rPr>
      <w:color w:val="0000FF" w:themeColor="hyperlink"/>
      <w:u w:val="single"/>
    </w:rPr>
  </w:style>
  <w:style w:type="character" w:styleId="UnresolvedMention">
    <w:name w:val="Unresolved Mention"/>
    <w:basedOn w:val="DefaultParagraphFont"/>
    <w:uiPriority w:val="99"/>
    <w:semiHidden/>
    <w:unhideWhenUsed/>
    <w:rsid w:val="00EE1A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ohsep.la.gov/about/unified-command-group/interoperability-subcommitte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gohsep.la.gov/about/unified-command-group/interoperability-subcommitte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35DABC-6DD2-464F-ACF6-0E98385FF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850</Words>
  <Characters>4847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5686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rcarolin</dc:creator>
  <cp:lastModifiedBy>Cleve Franklin</cp:lastModifiedBy>
  <cp:revision>4</cp:revision>
  <dcterms:created xsi:type="dcterms:W3CDTF">2026-01-12T18:59:00Z</dcterms:created>
  <dcterms:modified xsi:type="dcterms:W3CDTF">2026-06-29T15:25:00Z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2015-10-07T00:00:00Z</vt:filetime>
  </property>
  <property fmtid="{D5CDD505-2E9C-101B-9397-08002B2CF9AE}" pid="3" name="Creator">
    <vt:lpwstr>Acrobat PDFMaker 10.1 for Word</vt:lpwstr>
  </property>
  <property fmtid="{D5CDD505-2E9C-101B-9397-08002B2CF9AE}" pid="4" name="LastSaved">
    <vt:filetime>2025-11-12T00:00:00Z</vt:filetime>
  </property>
</Properties>
</file>